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833BD62" w:rsidR="004B553E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0B23B19" w:rsidR="004B553E" w:rsidRPr="0017531F" w:rsidRDefault="00DD16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Uvod u frankof</w:t>
            </w:r>
            <w:r w:rsidR="00D45771">
              <w:rPr>
                <w:rFonts w:ascii="Merriweather" w:hAnsi="Merriweather" w:cs="Times New Roman"/>
                <w:b/>
                <w:sz w:val="18"/>
                <w:szCs w:val="18"/>
              </w:rPr>
              <w:t>onske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EF8FD2" w:rsidR="004B553E" w:rsidRPr="0017531F" w:rsidRDefault="001B17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6317BB5" w:rsidR="004B553E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Sveučilišni prijediplomski studij Francuski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473C896" w:rsidR="004B553E" w:rsidRPr="0017531F" w:rsidRDefault="00F91E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B173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91E5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7B4FA8E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AA4F8E5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9A8C5ED" w:rsidR="004B553E" w:rsidRPr="0017531F" w:rsidRDefault="00F91E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F91E5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0C3FE8C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91E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655A49C" w:rsidR="00393964" w:rsidRPr="0017531F" w:rsidRDefault="00F91E5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91E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91E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9A9ED12" w:rsidR="00393964" w:rsidRPr="0017531F" w:rsidRDefault="00F91E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FA011A0" w:rsidR="00453362" w:rsidRPr="0017531F" w:rsidRDefault="001B173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A56CDE" w:rsidR="00453362" w:rsidRPr="0017531F" w:rsidRDefault="001B173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974E85D" w:rsidR="00453362" w:rsidRPr="0017531F" w:rsidRDefault="00F91E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468271C" w:rsidR="00453362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SK-1</w:t>
            </w:r>
            <w:r w:rsidR="00D45771">
              <w:rPr>
                <w:rFonts w:ascii="Merriweather" w:hAnsi="Merriweather" w:cs="Times New Roman"/>
                <w:sz w:val="16"/>
                <w:szCs w:val="16"/>
              </w:rPr>
              <w:t>36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2D65826" w:rsidR="00453362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311A452" w:rsidR="00453362" w:rsidRPr="001B173E" w:rsidRDefault="001B173E" w:rsidP="001B173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10.2024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050E496" w:rsidR="00453362" w:rsidRPr="0017531F" w:rsidRDefault="001B173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23.1.2024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A23E64F" w:rsidR="00453362" w:rsidRPr="0017531F" w:rsidRDefault="00D457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Upisana</w:t>
            </w:r>
            <w:r w:rsidR="001B173E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 prva godina PDS-a francuskog jezika i književnosti.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F6D20B" w:rsidR="00453362" w:rsidRPr="0017531F" w:rsidRDefault="001B17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Frano Vrančić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AC22B2F" w:rsidR="00453362" w:rsidRPr="0017531F" w:rsidRDefault="001B17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fvrancic@unizd.hr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0D7E788" w:rsidR="00453362" w:rsidRPr="0017531F" w:rsidRDefault="001B17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16h do 18h</w:t>
            </w:r>
          </w:p>
        </w:tc>
      </w:tr>
      <w:tr w:rsidR="001B173E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1B173E" w:rsidRPr="0017531F" w:rsidRDefault="001B173E" w:rsidP="001B173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BC89F95" w:rsidR="001B173E" w:rsidRPr="0017531F" w:rsidRDefault="001B173E" w:rsidP="001B17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Frano Vrančić</w:t>
            </w:r>
          </w:p>
        </w:tc>
      </w:tr>
      <w:tr w:rsidR="001B173E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1B173E" w:rsidRPr="0017531F" w:rsidRDefault="001B173E" w:rsidP="001B173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A9EEEB9" w:rsidR="001B173E" w:rsidRPr="0017531F" w:rsidRDefault="001B173E" w:rsidP="001B17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fvrancic@unizd.hr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1B173E" w:rsidRPr="0017531F" w:rsidRDefault="001B173E" w:rsidP="001B17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5DA3293" w:rsidR="001B173E" w:rsidRPr="0017531F" w:rsidRDefault="001B173E" w:rsidP="001B17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16h do 18h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4E6EDF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91A85EF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23BA069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91E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45771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55E9AE2" w14:textId="77777777" w:rsidR="00D45771" w:rsidRDefault="00D45771" w:rsidP="00D45771">
            <w:pPr>
              <w:jc w:val="both"/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-objasniti društveno-povijesne prilike u Europi, posebno u Francuskoj i njenom kolonijalnom carstvu od XVII. do XX. st.;  </w:t>
            </w:r>
          </w:p>
          <w:p w14:paraId="2968ACB7" w14:textId="77777777" w:rsidR="00D45771" w:rsidRDefault="00D45771" w:rsidP="00D45771">
            <w:pPr>
              <w:jc w:val="both"/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 xml:space="preserve">-navesti definicije pojmova specifičnih za književnu </w:t>
            </w:r>
            <w:proofErr w:type="spellStart"/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>frankofoniju</w:t>
            </w:r>
            <w:proofErr w:type="spellEnd"/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 xml:space="preserve"> i postkolonijalnu kritiku; razumjeti polemike vezane za definiciju književne </w:t>
            </w:r>
            <w:proofErr w:type="spellStart"/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>frankofonije</w:t>
            </w:r>
            <w:proofErr w:type="spellEnd"/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>;</w:t>
            </w:r>
          </w:p>
          <w:p w14:paraId="2FB6AF70" w14:textId="77777777" w:rsidR="00D45771" w:rsidRDefault="00D45771" w:rsidP="00D45771">
            <w:pPr>
              <w:jc w:val="both"/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-navesti glavne značajke frankofonskih književnosti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Supsaharske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 Afrike, Kanade, Kariba, Indijskog oceana, Oceanije, Indokine, Mediterana, Belgije i Švicarske, književne pravce i njihove glavne predstavnike; </w:t>
            </w:r>
          </w:p>
          <w:p w14:paraId="13E2A08B" w14:textId="0E75360E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- izložiti specifičnosti pojedinih književnih opusa koji su obilježili različite etape frankofonskih književnosti (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Verhaeren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Maeterlinck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Thiry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Cendrars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Ramuz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; Roy,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Blais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Ferron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Senghor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ésaire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Damas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Chamoiseau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Glissant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Kourouma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Labou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Tansi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Yacine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Ben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Jelloun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Memmi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Maalouf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Cung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G</w:t>
            </w: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>îu-Nguyên</w:t>
            </w:r>
            <w:proofErr w:type="spellEnd"/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).</w:t>
            </w:r>
          </w:p>
        </w:tc>
      </w:tr>
      <w:tr w:rsidR="00D45771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6C62542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poznavati elemente francuske i frankofonske kulture ; razumjeti književni tekst i diskurs te prepoznati žanrovska i stilska obilježja pojedinih književnih tekstova; samostalno čitati stručne, znanstvene i književne tekstove i razumjeti stručne pojmove.</w:t>
            </w:r>
          </w:p>
        </w:tc>
      </w:tr>
      <w:tr w:rsidR="00D45771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45771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3411A23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5E76BFF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489D860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D45771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D45771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B8DC351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D45771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8C3FD21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  <w:shd w:val="clear" w:color="auto" w:fill="FFFFFF"/>
              </w:rPr>
              <w:t xml:space="preserve">Za stjecanje potpisa studenti su dužni pohađati nastavu (70%, odnosno 50% u slučaju kolizije) i aktivno sudjelovati u seminarskom dijelu nastave. </w:t>
            </w:r>
          </w:p>
        </w:tc>
      </w:tr>
      <w:tr w:rsidR="00D45771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2CC651D" w:rsidR="00D45771" w:rsidRPr="0017531F" w:rsidRDefault="00F91E5E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C6EE99F" w:rsidR="00D45771" w:rsidRPr="0017531F" w:rsidRDefault="00F91E5E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D45771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0297091" w:rsidR="00D45771" w:rsidRPr="0017531F" w:rsidRDefault="00BE3617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  <w:r w:rsidR="00D45771">
              <w:rPr>
                <w:rFonts w:ascii="Merriweather" w:hAnsi="Merriweather" w:cs="Times New Roman"/>
                <w:sz w:val="16"/>
                <w:szCs w:val="16"/>
              </w:rPr>
              <w:t>.1.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2025. i </w:t>
            </w:r>
            <w:r w:rsidR="00D45771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D45771">
              <w:rPr>
                <w:rFonts w:ascii="Merriweather" w:hAnsi="Merriweather" w:cs="Times New Roman"/>
                <w:sz w:val="16"/>
                <w:szCs w:val="16"/>
              </w:rPr>
              <w:t>.2.2025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957045C" w:rsidR="00D45771" w:rsidRPr="0017531F" w:rsidRDefault="00BE3617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u rasporedu ak.god.2024./2025.</w:t>
            </w:r>
          </w:p>
        </w:tc>
      </w:tr>
      <w:tr w:rsidR="00D45771" w:rsidRPr="0017531F" w14:paraId="1F1C7616" w14:textId="77777777" w:rsidTr="007232FB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32A0C09" w14:textId="2073811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Svrha je ovog kolegija upoznavanje studenata s društvenim i političkim okolnostima nastanka frankofonskih književnosti, pri čemu je glavni cilj studentima pružiti kompetencije koje će im omogućiti da korištenjem pristupa zasnovanih na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intertekstualnosti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ili, pak, postkolonijalnoj kritici mogu detaljno analizirati djela najrelevantnijih frankofonskih autora u odnosu na kanonska djela francuske književnosti, prepoznajući pritom svo bogatstvo institucionalnih i diskurzivnih specifičnosti književnosti francuskog jezičnog izričaja. Prvi se dio kolegija odnosi na pregled i književnu analizu najvažnijih djela frankofonskih autora Belgije, drugi na književnost romanske Švicarske, treći na frankofonsku književnost Kanade, četvrti dio na frankofonske književnosti Crne Afrike, francuskih Antila, Indijskog oceana i Vijetnama, te posljednji dio na frankofonske književnosti Magreba i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Mašrika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. Poseban naglasak bit će stavljen na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crnaštvo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, filozofski, kulturni i pjesnički pravac koji je nastao u Parizu 1930-tih godina kao odgovor na kulturnu hegemoniju Treće Francuske Republike u njenim prekomorskim teritorijima.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Crnaštvo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je bilo vrlo moćno oružje u borbi protiv europskog kolonijalizma jer ono afirmira crnačku kulturu i identitet istovremeno odbijajući bjelačku kulturološku i intelektualnu superiornost. Stoga će književna djela utemeljitelja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Frankofonije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i prvog tamnoputog člana Francuske Akademije L. S.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Senghora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, francusko-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martiniškog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pisca i političara A.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>ésairea</w:t>
            </w:r>
            <w:proofErr w:type="spellEnd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i čuvenog pjesnika iz Francuske Gvajane L. G. </w:t>
            </w:r>
            <w:proofErr w:type="spellStart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>Damasa</w:t>
            </w:r>
            <w:proofErr w:type="spellEnd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naći zasluženo mjesto u ovom kolegiju. Na kraju kolegija studenti će moći potpunije razumjeti probleme s kojima se nakon dekolonizacije francuskog i belgijskog kolonijalnog imperija suočavaju mlade afričke demokracije, te vidjeti kako se isti odražavaju u književnim </w:t>
            </w:r>
            <w:proofErr w:type="spellStart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>djelim</w:t>
            </w:r>
            <w:proofErr w:type="spellEnd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afričkih frankofonskih autora (</w:t>
            </w:r>
            <w:proofErr w:type="spellStart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>Kourouma</w:t>
            </w:r>
            <w:proofErr w:type="spellEnd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>Labou</w:t>
            </w:r>
            <w:proofErr w:type="spellEnd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>Tansi</w:t>
            </w:r>
            <w:proofErr w:type="spellEnd"/>
            <w:r>
              <w:rPr>
                <w:rFonts w:ascii="Times New Roman" w:eastAsia="Calibri" w:hAnsi="Times New Roman" w:cs="Arial Narrow"/>
                <w:bCs/>
                <w:sz w:val="18"/>
                <w:szCs w:val="18"/>
                <w:shd w:val="clear" w:color="auto" w:fill="FFFFFF"/>
              </w:rPr>
              <w:t>, itd.).</w:t>
            </w:r>
          </w:p>
        </w:tc>
      </w:tr>
      <w:tr w:rsidR="00D45771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6CEB8F5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1. Društveno-povijesne prilike u francuskom kolonijalnom carstvu</w:t>
            </w:r>
          </w:p>
          <w:p w14:paraId="639A477F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2. Književna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frankofonija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Frankofonija</w:t>
            </w:r>
            <w:proofErr w:type="spellEnd"/>
          </w:p>
          <w:p w14:paraId="30B5D1B1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3. Književnost frankofone Belgije</w:t>
            </w:r>
          </w:p>
          <w:p w14:paraId="4A3A451F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a) Emile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Verhaeren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Toute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Flandre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87A9D97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b) Maurice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Maeterlinck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Pell</w:t>
            </w:r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éas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Mélisande</w:t>
            </w:r>
            <w:proofErr w:type="spellEnd"/>
          </w:p>
          <w:p w14:paraId="52FC6FD6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>4. Književnost romanske Švicarske</w:t>
            </w:r>
          </w:p>
          <w:p w14:paraId="395B579C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a) </w:t>
            </w:r>
            <w:proofErr w:type="spellStart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>Blaise</w:t>
            </w:r>
            <w:proofErr w:type="spellEnd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>Cendrars</w:t>
            </w:r>
            <w:proofErr w:type="spellEnd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Le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Panama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ou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aventures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mes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sept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oncles</w:t>
            </w:r>
            <w:proofErr w:type="spellEnd"/>
          </w:p>
          <w:p w14:paraId="003CC09C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b) 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Charles-Ferdinand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Ramuz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Farinet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ou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fausse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monnaie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Derborence</w:t>
            </w:r>
            <w:proofErr w:type="spellEnd"/>
          </w:p>
          <w:p w14:paraId="35B5D858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5. Književnost frankofone Kanade : </w:t>
            </w:r>
          </w:p>
          <w:p w14:paraId="1C39803D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a)  Gabrielle Roy,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Bonheur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d</w:t>
            </w:r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ʾoccasion</w:t>
            </w:r>
            <w:proofErr w:type="spellEnd"/>
          </w:p>
          <w:p w14:paraId="64F964F9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b) </w:t>
            </w: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Jacques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Ferron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grands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soleils</w:t>
            </w:r>
            <w:proofErr w:type="spellEnd"/>
          </w:p>
          <w:p w14:paraId="4EA382DE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6. Književnost «Crne Afrike» :</w:t>
            </w:r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1E05364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a) Léopold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Sédar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Senghor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Quʾest-ce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que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négritude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 ? </w:t>
            </w: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Nuit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 de Sine</w:t>
            </w:r>
          </w:p>
          <w:p w14:paraId="45EC0DE0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7. Književnost «Crne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afrike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» :</w:t>
            </w:r>
          </w:p>
          <w:p w14:paraId="0BDD2F9B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a)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Ahmadou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Korouma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Soleils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des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ind</w:t>
            </w:r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é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pendances</w:t>
            </w:r>
            <w:proofErr w:type="spellEnd"/>
          </w:p>
          <w:p w14:paraId="3F780FFF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8. Književnost «Crne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afrike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» :</w:t>
            </w:r>
          </w:p>
          <w:p w14:paraId="7C0A766F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a) 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Sony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Labou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Tansi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vie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demie</w:t>
            </w:r>
            <w:proofErr w:type="spellEnd"/>
          </w:p>
          <w:p w14:paraId="386E877F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9. Književnost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frankofonih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Antila </w:t>
            </w:r>
          </w:p>
          <w:p w14:paraId="0350E0B1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a)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Aimé</w:t>
            </w:r>
            <w:proofErr w:type="spellEnd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>ésaire</w:t>
            </w:r>
            <w:proofErr w:type="spellEnd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Cahier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dʼun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retour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au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pays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natal</w:t>
            </w:r>
            <w:proofErr w:type="spellEnd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; </w:t>
            </w:r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Tragédie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du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>roi</w:t>
            </w:r>
            <w:proofErr w:type="spellEnd"/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</w:rPr>
              <w:t xml:space="preserve"> Christophe</w:t>
            </w:r>
          </w:p>
          <w:p w14:paraId="50C899B3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10. Književnost </w:t>
            </w:r>
            <w:proofErr w:type="spellStart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>frankofonih</w:t>
            </w:r>
            <w:proofErr w:type="spellEnd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 Antila</w:t>
            </w:r>
          </w:p>
          <w:p w14:paraId="3ABD5919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a) </w:t>
            </w: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Patrick Chamoiseau, </w:t>
            </w:r>
            <w:r>
              <w:rPr>
                <w:rFonts w:ascii="Times New Roman" w:eastAsia="SimSun" w:hAnsi="Times New Roman" w:cs="Tahoma"/>
                <w:i/>
                <w:iCs/>
                <w:sz w:val="18"/>
                <w:szCs w:val="18"/>
                <w:shd w:val="clear" w:color="auto" w:fill="FFFFFF"/>
                <w:lang w:val="fr-FR"/>
              </w:rPr>
              <w:t>Texaco</w:t>
            </w:r>
          </w:p>
          <w:p w14:paraId="0D0FE23C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fr-FR"/>
              </w:rPr>
              <w:t xml:space="preserve">Edouard Glissant,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fr-FR"/>
              </w:rPr>
              <w:t>Le Quatri</w:t>
            </w:r>
            <w:r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fr-FR"/>
              </w:rPr>
              <w:t>ème siècle</w:t>
            </w:r>
          </w:p>
          <w:p w14:paraId="3566DC95" w14:textId="77777777" w:rsidR="00D45771" w:rsidRP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</w:pPr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11.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Književnost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Francuske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Gvajane</w:t>
            </w:r>
            <w:proofErr w:type="spellEnd"/>
          </w:p>
          <w:p w14:paraId="4629103A" w14:textId="77777777" w:rsidR="00D45771" w:rsidRP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</w:pPr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a) Léon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Gontran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 Damas, </w:t>
            </w:r>
            <w:proofErr w:type="gramStart"/>
            <w:r w:rsidRPr="00D45771"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en-US"/>
              </w:rPr>
              <w:t>Pigments </w:t>
            </w:r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;</w:t>
            </w:r>
            <w:proofErr w:type="gram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D45771"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en-US"/>
              </w:rPr>
              <w:t>Graffiti</w:t>
            </w:r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,  </w:t>
            </w:r>
            <w:r w:rsidRPr="00D45771"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en-US"/>
              </w:rPr>
              <w:t>Black-Label</w:t>
            </w:r>
          </w:p>
          <w:p w14:paraId="30606194" w14:textId="77777777" w:rsidR="00D45771" w:rsidRP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</w:pPr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12.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Frankofona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književnost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Magreba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Alžir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  <w:p w14:paraId="7C8C42CE" w14:textId="77777777" w:rsidR="00D45771" w:rsidRP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</w:pPr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lastRenderedPageBreak/>
              <w:t xml:space="preserve">a)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Kateb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>Yacine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r w:rsidRPr="00D45771"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en-US"/>
              </w:rPr>
              <w:t xml:space="preserve">Le </w:t>
            </w:r>
            <w:proofErr w:type="spellStart"/>
            <w:r w:rsidRPr="00D45771"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en-US"/>
              </w:rPr>
              <w:t>cadavre</w:t>
            </w:r>
            <w:proofErr w:type="spellEnd"/>
            <w:r w:rsidRPr="00D45771"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5771"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en-US"/>
              </w:rPr>
              <w:t>encerclé</w:t>
            </w:r>
            <w:proofErr w:type="spellEnd"/>
            <w:r w:rsidRPr="00D45771"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45771"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en-US"/>
              </w:rPr>
              <w:t>Nedjma</w:t>
            </w:r>
            <w:proofErr w:type="spellEnd"/>
          </w:p>
          <w:p w14:paraId="2BEBC316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b) Assia Djebar, </w:t>
            </w:r>
            <w:proofErr w:type="spellStart"/>
            <w:r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fr-FR"/>
              </w:rPr>
              <w:t>Lʼamour</w:t>
            </w:r>
            <w:proofErr w:type="spellEnd"/>
            <w:r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fr-FR"/>
              </w:rPr>
              <w:t>, la Fantasia</w:t>
            </w:r>
          </w:p>
          <w:p w14:paraId="0EA7EC5A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Frankofona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Magreba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Maroko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i Tunis)</w:t>
            </w:r>
          </w:p>
          <w:p w14:paraId="5B22E580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a)  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  <w:lang w:val="fr-FR"/>
              </w:rPr>
              <w:t xml:space="preserve">Tahar Ben Jelloun,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  <w:lang w:val="fr-FR"/>
              </w:rPr>
              <w:t>L</w:t>
            </w:r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  <w:lang w:val="fr-FR"/>
              </w:rPr>
              <w:t>ʾenfant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  <w:lang w:val="fr-FR"/>
              </w:rPr>
              <w:t xml:space="preserve"> de sable</w:t>
            </w:r>
          </w:p>
          <w:p w14:paraId="64CB512A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b) Albert Memmi, </w:t>
            </w:r>
            <w:r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fr-FR"/>
              </w:rPr>
              <w:t>La Statue de sel</w:t>
            </w:r>
          </w:p>
          <w:p w14:paraId="66F5A726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Frankofona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Bliskog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Istoka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Egipat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Libanon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)</w:t>
            </w:r>
          </w:p>
          <w:p w14:paraId="791A5669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a) Albert </w:t>
            </w:r>
            <w:proofErr w:type="spellStart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>Cossery</w:t>
            </w:r>
            <w:proofErr w:type="spellEnd"/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ahoma"/>
                <w:i/>
                <w:iCs/>
                <w:sz w:val="18"/>
                <w:szCs w:val="18"/>
                <w:shd w:val="clear" w:color="auto" w:fill="FFFFFF"/>
                <w:lang w:val="fr-FR"/>
              </w:rPr>
              <w:t>La Maison de la mort certaine</w:t>
            </w:r>
          </w:p>
          <w:p w14:paraId="0271F2C8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ahoma"/>
                <w:sz w:val="18"/>
                <w:szCs w:val="18"/>
                <w:shd w:val="clear" w:color="auto" w:fill="FFFFFF"/>
                <w:lang w:val="fr-FR"/>
              </w:rPr>
              <w:t xml:space="preserve">b) 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  <w:lang w:val="fr-FR"/>
              </w:rPr>
              <w:t>Amin Maalouf,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  <w:lang w:val="fr-FR"/>
              </w:rPr>
              <w:t xml:space="preserve"> Le rocher de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  <w:lang w:val="fr-FR"/>
              </w:rPr>
              <w:t>Tanios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  <w:lang w:val="fr-FR"/>
              </w:rPr>
              <w:t> </w:t>
            </w:r>
          </w:p>
          <w:p w14:paraId="687BA737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15. Frankofona književnost Vijetnama</w:t>
            </w:r>
          </w:p>
          <w:p w14:paraId="6ACACA8A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a)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Cung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G</w:t>
            </w:r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>îu-Nguyên</w:t>
            </w:r>
            <w:proofErr w:type="spellEnd"/>
            <w:r>
              <w:rPr>
                <w:rFonts w:ascii="Times New Roman" w:eastAsia="SimSun" w:hAnsi="Times New Roman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Volontés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dʾexistence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18"/>
                <w:szCs w:val="18"/>
                <w:shd w:val="clear" w:color="auto" w:fill="FFFFFF"/>
              </w:rPr>
              <w:t> </w:t>
            </w:r>
          </w:p>
          <w:p w14:paraId="00C8EDA6" w14:textId="77777777" w:rsidR="00D45771" w:rsidRDefault="00D45771" w:rsidP="00D45771">
            <w:pPr>
              <w:tabs>
                <w:tab w:val="left" w:pos="1218"/>
              </w:tabs>
              <w:spacing w:line="360" w:lineRule="auto"/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b)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Pham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Van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Perdre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demeure</w:t>
            </w:r>
            <w:proofErr w:type="spellEnd"/>
          </w:p>
          <w:p w14:paraId="3751A0CB" w14:textId="77777777" w:rsidR="00D45771" w:rsidRDefault="00D45771" w:rsidP="00D45771">
            <w:pPr>
              <w:tabs>
                <w:tab w:val="left" w:pos="1218"/>
              </w:tabs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</w:p>
          <w:p w14:paraId="6E3A408E" w14:textId="51925B05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Napomena : Studenti su dužni pročitati isključivo odabrane ulomke iz gore spomenutih književnih djela.</w:t>
            </w:r>
          </w:p>
        </w:tc>
      </w:tr>
      <w:tr w:rsidR="00D45771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A895049" w14:textId="77777777" w:rsidR="00D45771" w:rsidRDefault="00D45771" w:rsidP="00D45771">
            <w:pP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Jean-Louis </w:t>
            </w: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Joubert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litt</w:t>
            </w:r>
            <w:r>
              <w:rPr>
                <w:rFonts w:ascii="Segoe UI" w:eastAsia="Calibri" w:hAnsi="Segoe UI" w:cs="Arial"/>
                <w:i/>
                <w:iCs/>
                <w:sz w:val="18"/>
                <w:szCs w:val="18"/>
                <w:shd w:val="clear" w:color="auto" w:fill="FFFFFF"/>
              </w:rPr>
              <w:t>é</w:t>
            </w:r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ratures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francophones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depuis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1945</w:t>
            </w:r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Bordas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, Paris, 1986. (str. 21-31, 66-78, 93-113, 175-237, 240-248)</w:t>
            </w:r>
          </w:p>
          <w:p w14:paraId="50D9B4E5" w14:textId="77777777" w:rsidR="00D45771" w:rsidRDefault="00D45771" w:rsidP="00D45771">
            <w:pP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Petr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Vurm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Anthologie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litt</w:t>
            </w:r>
            <w:r>
              <w:rPr>
                <w:rFonts w:ascii="Segoe UI" w:eastAsia="Calibri" w:hAnsi="Segoe UI" w:cs="Arial"/>
                <w:i/>
                <w:iCs/>
                <w:sz w:val="18"/>
                <w:szCs w:val="18"/>
                <w:shd w:val="clear" w:color="auto" w:fill="FFFFFF"/>
              </w:rPr>
              <w:t>é</w:t>
            </w:r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rature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francophone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, Masarykova </w:t>
            </w: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univerzita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, Brno, 2014. (str. 7-20, 21-38, 39-52, 67-84, 85-100, 124-131)</w:t>
            </w:r>
          </w:p>
          <w:p w14:paraId="0B89B5BE" w14:textId="4AFD8DC2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Litt</w:t>
            </w:r>
            <w:r>
              <w:rPr>
                <w:rFonts w:ascii="Segoe UI" w:eastAsia="Calibri" w:hAnsi="Segoe UI" w:cs="Arial"/>
                <w:i/>
                <w:iCs/>
                <w:sz w:val="18"/>
                <w:szCs w:val="18"/>
                <w:shd w:val="clear" w:color="auto" w:fill="FFFFFF"/>
              </w:rPr>
              <w:t>é</w:t>
            </w:r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ratures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langue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fran</w:t>
            </w:r>
            <w:r>
              <w:rPr>
                <w:rFonts w:ascii="Segoe UI" w:eastAsia="Calibri" w:hAnsi="Segoe UI" w:cs="Arial"/>
                <w:i/>
                <w:iCs/>
                <w:sz w:val="18"/>
                <w:szCs w:val="18"/>
                <w:shd w:val="clear" w:color="auto" w:fill="FFFFFF"/>
              </w:rPr>
              <w:t>ç</w:t>
            </w:r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aise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hors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de France</w:t>
            </w:r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, FIPS, Bruxelles, 1981. (str. 201-206, 214-217, 229-234, 427-436, 455-458, 465-468, 531-538, 552-558, 567-569, 633-640, 651-653, 654-658)</w:t>
            </w:r>
          </w:p>
        </w:tc>
      </w:tr>
      <w:tr w:rsidR="00D45771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233FF09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Lilyan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Kasteloot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Histoire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litt</w:t>
            </w:r>
            <w:r>
              <w:rPr>
                <w:rFonts w:ascii="Segoe UI" w:eastAsia="Calibri" w:hAnsi="Segoe UI" w:cs="Arial"/>
                <w:i/>
                <w:iCs/>
                <w:sz w:val="18"/>
                <w:szCs w:val="18"/>
                <w:shd w:val="clear" w:color="auto" w:fill="FFFFFF"/>
              </w:rPr>
              <w:t>é</w:t>
            </w:r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rature</w:t>
            </w:r>
            <w:proofErr w:type="spellEnd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ascii="Segoe UI" w:eastAsia="Calibri" w:hAnsi="Segoe UI" w:cs="Arial"/>
                <w:i/>
                <w:iCs/>
                <w:sz w:val="18"/>
                <w:szCs w:val="18"/>
                <w:shd w:val="clear" w:color="auto" w:fill="FFFFFF"/>
              </w:rPr>
              <w:t>é</w:t>
            </w:r>
            <w:r>
              <w:rPr>
                <w:rFonts w:ascii="Arial Narrow" w:eastAsia="Calibri" w:hAnsi="Arial Narrow" w:cs="Arial"/>
                <w:i/>
                <w:iCs/>
                <w:sz w:val="18"/>
                <w:szCs w:val="18"/>
                <w:shd w:val="clear" w:color="auto" w:fill="FFFFFF"/>
              </w:rPr>
              <w:t>gro-africaine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Karthala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Editions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shd w:val="clear" w:color="auto" w:fill="FFFFFF"/>
              </w:rPr>
              <w:t>, Paris, 2001.</w:t>
            </w:r>
          </w:p>
        </w:tc>
      </w:tr>
      <w:tr w:rsidR="00D45771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45771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45771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45771" w:rsidRPr="0017531F" w:rsidRDefault="00F91E5E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45771" w:rsidRPr="0017531F" w:rsidRDefault="00D45771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472AAA5" w:rsidR="00D45771" w:rsidRPr="0017531F" w:rsidRDefault="00F91E5E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45771" w:rsidRPr="0017531F" w:rsidRDefault="00D45771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D45771" w:rsidRPr="0017531F" w:rsidRDefault="00F91E5E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45771" w:rsidRPr="0017531F" w:rsidRDefault="00F91E5E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45771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45771" w:rsidRPr="0017531F" w:rsidRDefault="00F91E5E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45771" w:rsidRPr="0017531F" w:rsidRDefault="00F91E5E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D45771" w:rsidRPr="0017531F" w:rsidRDefault="00F91E5E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45771" w:rsidRPr="0017531F" w:rsidRDefault="00D45771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45771" w:rsidRPr="0017531F" w:rsidRDefault="00F91E5E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45771" w:rsidRPr="0017531F" w:rsidRDefault="00D45771" w:rsidP="00D4577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45771" w:rsidRPr="0017531F" w:rsidRDefault="00F91E5E" w:rsidP="00D4577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45771" w:rsidRPr="0017531F" w:rsidRDefault="00F91E5E" w:rsidP="00D4577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5771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45771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811C6C6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  <w:shd w:val="clear" w:color="auto" w:fill="FFFFFF"/>
              </w:rPr>
              <w:t>Osim ocjene na usmenom ispitu konačna ocjena uzima u obzir i redovito pripremanje studenata za nastavu kao i njihov angažman prilikom pohađanja seminarskog dijela nastave.</w:t>
            </w:r>
          </w:p>
        </w:tc>
      </w:tr>
      <w:tr w:rsidR="00D45771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45771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45771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45771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45771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D45771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45771" w:rsidRPr="0017531F" w:rsidRDefault="00F91E5E" w:rsidP="00D457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7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577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45771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45771" w:rsidRPr="0017531F" w:rsidRDefault="00D45771" w:rsidP="00D4577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D45771" w:rsidRPr="0017531F" w:rsidRDefault="00D45771" w:rsidP="00D457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D229" w14:textId="77777777" w:rsidR="00F91E5E" w:rsidRDefault="00F91E5E" w:rsidP="009947BA">
      <w:pPr>
        <w:spacing w:before="0" w:after="0"/>
      </w:pPr>
      <w:r>
        <w:separator/>
      </w:r>
    </w:p>
  </w:endnote>
  <w:endnote w:type="continuationSeparator" w:id="0">
    <w:p w14:paraId="6095CED6" w14:textId="77777777" w:rsidR="00F91E5E" w:rsidRDefault="00F91E5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83C5" w14:textId="77777777" w:rsidR="00F91E5E" w:rsidRDefault="00F91E5E" w:rsidP="009947BA">
      <w:pPr>
        <w:spacing w:before="0" w:after="0"/>
      </w:pPr>
      <w:r>
        <w:separator/>
      </w:r>
    </w:p>
  </w:footnote>
  <w:footnote w:type="continuationSeparator" w:id="0">
    <w:p w14:paraId="6DBC95BF" w14:textId="77777777" w:rsidR="00F91E5E" w:rsidRDefault="00F91E5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4863"/>
    <w:multiLevelType w:val="hybridMultilevel"/>
    <w:tmpl w:val="64D2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B173E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67279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A6DC7"/>
    <w:rsid w:val="00BE3617"/>
    <w:rsid w:val="00C02454"/>
    <w:rsid w:val="00C0433E"/>
    <w:rsid w:val="00C3477B"/>
    <w:rsid w:val="00C85956"/>
    <w:rsid w:val="00C9733D"/>
    <w:rsid w:val="00CA3783"/>
    <w:rsid w:val="00CB23F4"/>
    <w:rsid w:val="00D136E4"/>
    <w:rsid w:val="00D45771"/>
    <w:rsid w:val="00D5334D"/>
    <w:rsid w:val="00D5523D"/>
    <w:rsid w:val="00D944DF"/>
    <w:rsid w:val="00DD110C"/>
    <w:rsid w:val="00DD1657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91E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2175A-A2D2-4FC3-B8C5-1D4F55D95A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fvrancic@unizd.hr</cp:lastModifiedBy>
  <cp:revision>2</cp:revision>
  <cp:lastPrinted>2021-02-12T11:27:00Z</cp:lastPrinted>
  <dcterms:created xsi:type="dcterms:W3CDTF">2024-09-10T08:15:00Z</dcterms:created>
  <dcterms:modified xsi:type="dcterms:W3CDTF">2024-09-10T08:15:00Z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