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8519F7" w:rsidRDefault="008942F0" w:rsidP="008519F7">
      <w:pPr>
        <w:jc w:val="center"/>
        <w:rPr>
          <w:rFonts w:ascii="Merriweather" w:hAnsi="Merriweather" w:cs="Times New Roman"/>
          <w:b/>
        </w:rPr>
      </w:pPr>
      <w:r w:rsidRPr="008519F7">
        <w:rPr>
          <w:rFonts w:ascii="Merriweather" w:hAnsi="Merriweather" w:cs="Times New Roman"/>
          <w:b/>
        </w:rPr>
        <w:t>Izvedbeni plan nastave (</w:t>
      </w:r>
      <w:proofErr w:type="spellStart"/>
      <w:r w:rsidR="0010332B" w:rsidRPr="008519F7">
        <w:rPr>
          <w:rFonts w:ascii="Merriweather" w:hAnsi="Merriweather" w:cs="Times New Roman"/>
          <w:b/>
          <w:i/>
        </w:rPr>
        <w:t>syllabus</w:t>
      </w:r>
      <w:proofErr w:type="spellEnd"/>
      <w:r w:rsidRPr="008519F7">
        <w:rPr>
          <w:rFonts w:ascii="Merriweather" w:hAnsi="Merriweather" w:cs="Times New Roman"/>
          <w:b/>
        </w:rPr>
        <w:t>)</w:t>
      </w:r>
      <w:r w:rsidR="00B4202A" w:rsidRPr="008519F7">
        <w:rPr>
          <w:rStyle w:val="FootnoteReference"/>
          <w:rFonts w:ascii="Merriweather" w:hAnsi="Merriweather" w:cs="Times New Roman"/>
          <w:b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8519F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519F7" w:rsidRDefault="009A284F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8519F7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519F7" w:rsidRDefault="007A149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19F7">
              <w:rPr>
                <w:rFonts w:ascii="Merriweather" w:hAnsi="Merriweather" w:cs="Times New Roman"/>
                <w:b/>
                <w:sz w:val="20"/>
              </w:rPr>
              <w:t>Pragmatika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8519F7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8519F7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519F7" w:rsidRDefault="00DA7F7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8519F7">
              <w:rPr>
                <w:rFonts w:ascii="Merriweather" w:hAnsi="Merriweather" w:cs="Times New Roman"/>
                <w:sz w:val="20"/>
              </w:rPr>
              <w:t>2022./2023.</w:t>
            </w:r>
          </w:p>
        </w:tc>
      </w:tr>
      <w:tr w:rsidR="004B553E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19F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519F7" w:rsidRDefault="007A1490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519F7">
              <w:rPr>
                <w:rFonts w:ascii="Merriweather" w:hAnsi="Merriweather" w:cs="Times New Roman"/>
                <w:sz w:val="20"/>
              </w:rPr>
              <w:t>Francuski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8519F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19F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8519F7" w:rsidRDefault="007A149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8519F7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19F7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8519F7" w:rsidRDefault="007A1490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519F7">
              <w:rPr>
                <w:rFonts w:ascii="Merriweather" w:hAnsi="Merriweather" w:cs="Times New Roman"/>
                <w:sz w:val="20"/>
              </w:rPr>
              <w:t>Odjel za francuske i frankofonske studije</w:t>
            </w:r>
          </w:p>
        </w:tc>
      </w:tr>
      <w:tr w:rsidR="004B553E" w:rsidRPr="008519F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519F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519F7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519F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519F7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519F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519F7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8519F7" w:rsidRDefault="001A535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519F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519F7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8519F7" w:rsidRDefault="001A535A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A284F" w:rsidRPr="008519F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9A284F" w:rsidRPr="008519F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9A284F" w:rsidRPr="008519F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8519F7" w:rsidRDefault="001A53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8519F7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519F7" w:rsidTr="008519F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 w:colFirst="2" w:colLast="2"/>
            <w:r w:rsidRPr="008519F7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8519F7" w:rsidRDefault="0091756E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sz w:val="18"/>
                <w:szCs w:val="20"/>
              </w:rPr>
              <w:t>15</w:t>
            </w:r>
          </w:p>
        </w:tc>
        <w:tc>
          <w:tcPr>
            <w:tcW w:w="339" w:type="dxa"/>
          </w:tcPr>
          <w:p w:rsidR="009A284F" w:rsidRPr="008519F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</w:tcPr>
          <w:p w:rsidR="009A284F" w:rsidRPr="008519F7" w:rsidRDefault="0091756E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sz w:val="18"/>
                <w:szCs w:val="20"/>
              </w:rPr>
              <w:t>15</w:t>
            </w:r>
          </w:p>
        </w:tc>
        <w:tc>
          <w:tcPr>
            <w:tcW w:w="312" w:type="dxa"/>
            <w:gridSpan w:val="3"/>
          </w:tcPr>
          <w:p w:rsidR="009A284F" w:rsidRPr="008519F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8519F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8519F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519F7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519F7" w:rsidRDefault="001A535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56E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bookmarkEnd w:id="0"/>
      <w:tr w:rsidR="009A284F" w:rsidRPr="008519F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519F7" w:rsidRDefault="007A1490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b/>
                <w:sz w:val="18"/>
                <w:szCs w:val="20"/>
              </w:rPr>
              <w:t>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519F7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519F7" w:rsidRDefault="007A149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sz w:val="18"/>
                <w:szCs w:val="20"/>
              </w:rPr>
              <w:t>francuski</w:t>
            </w:r>
          </w:p>
        </w:tc>
      </w:tr>
      <w:tr w:rsidR="009A284F" w:rsidRPr="008519F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519F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519F7" w:rsidRDefault="009A284F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519F7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519F7" w:rsidRDefault="009A284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519F7" w:rsidRDefault="007A1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9A284F" w:rsidRPr="008519F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 xml:space="preserve">Nositelj </w:t>
            </w:r>
            <w:r w:rsidR="007A1490" w:rsidRPr="008519F7">
              <w:rPr>
                <w:rFonts w:ascii="Merriweather" w:hAnsi="Merriweather" w:cs="Times New Roman"/>
                <w:b/>
                <w:sz w:val="18"/>
              </w:rPr>
              <w:t xml:space="preserve">i izvođač </w:t>
            </w:r>
            <w:r w:rsidRPr="008519F7">
              <w:rPr>
                <w:rFonts w:ascii="Merriweather" w:hAnsi="Merriweather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:rsidR="009A284F" w:rsidRPr="008519F7" w:rsidRDefault="007A1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Barbara Vodanović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519F7" w:rsidRDefault="007A1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bvodanov@unizd.hr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8519F7" w:rsidRDefault="007A1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Prema rasporedu</w:t>
            </w:r>
          </w:p>
        </w:tc>
      </w:tr>
      <w:tr w:rsidR="009A284F" w:rsidRPr="008519F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8519F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7B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519F7" w:rsidRDefault="001A535A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8519F7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5CAA" w:rsidRPr="008519F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519F7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DA7F7B" w:rsidRPr="008519F7" w:rsidRDefault="00DA7F7B" w:rsidP="00DA7F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Usvojiti i razlikovati elemente jezične komunikacije kao čina: govorni činovi,</w:t>
            </w:r>
          </w:p>
          <w:p w:rsidR="00DA7F7B" w:rsidRPr="008519F7" w:rsidRDefault="00DA7F7B" w:rsidP="00DA7F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implicitno, doslovno, pretpostavka, kohezivnost komunikacijskog čina.</w:t>
            </w:r>
          </w:p>
          <w:p w:rsidR="00DA7F7B" w:rsidRPr="008519F7" w:rsidRDefault="00DA7F7B" w:rsidP="00DA7F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Prepoznati i razlikovati govorne činove, poziciju govornog subjekta, zahtjev</w:t>
            </w:r>
          </w:p>
          <w:p w:rsidR="00785CAA" w:rsidRPr="008519F7" w:rsidRDefault="00DA7F7B" w:rsidP="00DA7F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koji čin polaže na sugovornika, implikaciju koju čin prenosi.</w:t>
            </w:r>
          </w:p>
        </w:tc>
      </w:tr>
      <w:tr w:rsidR="00785CAA" w:rsidRPr="008519F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519F7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8519F7" w:rsidRDefault="00785CAA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284F" w:rsidRPr="008519F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A284F" w:rsidRPr="008519F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519F7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9A284F" w:rsidRPr="008519F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9A284F" w:rsidRPr="008519F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7B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519F7" w:rsidRDefault="00212E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Student je dužan predati na vrijeme najmanje 4 od 5 domaćih zadaća kako bi ostvario pravo za izlazak na pismeni ispit.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8519F7" w:rsidRDefault="007A1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Prema rasporedu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8519F7" w:rsidRDefault="007A1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Prema rasporedu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A284F" w:rsidRPr="008519F7" w:rsidRDefault="00212EAF" w:rsidP="00137E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Kolegij upoznaje studente s najosnovnijim </w:t>
            </w:r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temama i preokupacijama vezanim uz </w:t>
            </w:r>
            <w:r w:rsidR="00137EBD" w:rsidRPr="008519F7">
              <w:rPr>
                <w:rFonts w:ascii="Merriweather" w:eastAsia="MS Gothic" w:hAnsi="Merriweather" w:cs="Times New Roman"/>
                <w:sz w:val="18"/>
              </w:rPr>
              <w:t xml:space="preserve">razumijevanje govornih činova, implikacije, procedure, tj. </w:t>
            </w:r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pragmatiku </w:t>
            </w:r>
            <w:r w:rsidR="00137EBD" w:rsidRPr="008519F7">
              <w:rPr>
                <w:rFonts w:ascii="Merriweather" w:eastAsia="MS Gothic" w:hAnsi="Merriweather" w:cs="Times New Roman"/>
                <w:sz w:val="18"/>
              </w:rPr>
              <w:t xml:space="preserve">kao „znanosti o neizrečenome“, </w:t>
            </w:r>
            <w:r w:rsidR="009943D3" w:rsidRPr="008519F7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Grice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Austin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Searle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). Pristup se prvenstveno temelji se na postavkama izričajne pragmatike francuskih autora (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Benveniste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Ducrot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Anscombre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Kerbrat-Orecchionni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) i donekle nadopunjuje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kognitivističkom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 perspektivom (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Moeschler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Reboul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Sperber</w:t>
            </w:r>
            <w:proofErr w:type="spellEnd"/>
            <w:r w:rsidR="009943D3" w:rsidRPr="008519F7">
              <w:rPr>
                <w:rFonts w:ascii="Merriweather" w:eastAsia="MS Gothic" w:hAnsi="Merriweather" w:cs="Times New Roman"/>
                <w:sz w:val="18"/>
              </w:rPr>
              <w:t>, Wilson).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A284F" w:rsidRPr="008519F7" w:rsidRDefault="007A1490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Pragmatique aujourd'hui: différentes perspectives.</w:t>
            </w:r>
          </w:p>
          <w:p w:rsidR="00DA7F7B" w:rsidRPr="008519F7" w:rsidRDefault="00DA7F7B" w:rsidP="00DA7F7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Pragmatique des actes du langage </w:t>
            </w:r>
          </w:p>
          <w:p w:rsidR="00DA7F7B" w:rsidRPr="008519F7" w:rsidRDefault="00DA7F7B" w:rsidP="00DA7F7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Pragmatique des actes du langage : Austin</w:t>
            </w:r>
          </w:p>
          <w:p w:rsidR="00DA7F7B" w:rsidRPr="008519F7" w:rsidRDefault="00DA7F7B" w:rsidP="00DA7F7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Pragmatique des actes du langage : Searle</w:t>
            </w:r>
          </w:p>
          <w:p w:rsidR="00DA7F7B" w:rsidRPr="008519F7" w:rsidRDefault="00DA7F7B" w:rsidP="00DA7F7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Grice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 et approche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inferentielle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 </w:t>
            </w:r>
          </w:p>
          <w:p w:rsidR="00DA7F7B" w:rsidRPr="008519F7" w:rsidRDefault="00DA7F7B" w:rsidP="00DA7F7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Implicatures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 et </w:t>
            </w:r>
            <w:r w:rsidR="00D57AC3"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maximes de coopération </w:t>
            </w:r>
          </w:p>
          <w:p w:rsidR="0091756E" w:rsidRPr="008519F7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Pragmatique énonciative : de Benveniste</w:t>
            </w:r>
            <w:r w:rsidR="00D57AC3"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,</w:t>
            </w: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 Ducrot</w:t>
            </w:r>
            <w:r w:rsidR="00D57AC3"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, </w:t>
            </w:r>
            <w:proofErr w:type="spellStart"/>
            <w:r w:rsidR="00D57AC3"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Kerbrat-Orecchioni</w:t>
            </w:r>
            <w:proofErr w:type="spellEnd"/>
          </w:p>
          <w:p w:rsidR="0091756E" w:rsidRPr="008519F7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Pragmatique énonciative : </w:t>
            </w:r>
            <w:r w:rsidR="00D57AC3"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personne</w:t>
            </w:r>
          </w:p>
          <w:p w:rsidR="00D57AC3" w:rsidRPr="008519F7" w:rsidRDefault="00D57AC3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Pragmatique énonciative : espace et temps</w:t>
            </w:r>
          </w:p>
          <w:p w:rsidR="00D57AC3" w:rsidRPr="008519F7" w:rsidRDefault="00D57AC3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Les modalités subjectives et ethos</w:t>
            </w:r>
          </w:p>
          <w:p w:rsidR="00D57AC3" w:rsidRPr="008519F7" w:rsidRDefault="00D57AC3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Les modalités subjectives : exercices</w:t>
            </w:r>
          </w:p>
          <w:p w:rsidR="0091756E" w:rsidRPr="008519F7" w:rsidRDefault="0091756E" w:rsidP="0091756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Contenu conceptuel et contenu procédural</w:t>
            </w:r>
          </w:p>
          <w:p w:rsidR="0091756E" w:rsidRPr="008519F7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Principes de pertinence</w:t>
            </w:r>
          </w:p>
          <w:p w:rsidR="0091756E" w:rsidRPr="008519F7" w:rsidRDefault="0091756E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Cohérence du discours</w:t>
            </w:r>
          </w:p>
          <w:p w:rsidR="001D6D60" w:rsidRPr="008519F7" w:rsidRDefault="001D6D60" w:rsidP="007A149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fr-FR"/>
              </w:rPr>
            </w:pPr>
            <w:r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>Commentaire des travaux dirigés</w:t>
            </w:r>
            <w:r w:rsidR="00DA7F7B" w:rsidRPr="008519F7">
              <w:rPr>
                <w:rFonts w:ascii="Merriweather" w:eastAsia="MS Gothic" w:hAnsi="Merriweather" w:cs="Times New Roman"/>
                <w:sz w:val="18"/>
                <w:lang w:val="fr-FR"/>
              </w:rPr>
              <w:t xml:space="preserve"> 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12EAF" w:rsidRPr="008519F7" w:rsidRDefault="001D6D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M.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Bracops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à la </w:t>
            </w:r>
            <w:proofErr w:type="spellStart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>pragmatique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 (2010),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DeBoeck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>/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Duculot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; </w:t>
            </w:r>
          </w:p>
          <w:p w:rsidR="00212EAF" w:rsidRPr="008519F7" w:rsidRDefault="001D6D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Garric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, N.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Calas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, F. (2007) </w:t>
            </w:r>
            <w:proofErr w:type="spellStart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à la </w:t>
            </w:r>
            <w:proofErr w:type="spellStart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>pragmatique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Hachette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; </w:t>
            </w:r>
          </w:p>
          <w:p w:rsidR="00212EAF" w:rsidRPr="008519F7" w:rsidRDefault="00212EAF" w:rsidP="00212E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Reboul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, A.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519F7">
              <w:rPr>
                <w:rFonts w:ascii="Merriweather" w:hAnsi="Merriweather" w:cs="Times New Roman"/>
                <w:sz w:val="18"/>
                <w:szCs w:val="18"/>
              </w:rPr>
              <w:t>Moeschler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, J. (1998), </w:t>
            </w:r>
            <w:proofErr w:type="spellStart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>Pragmatique</w:t>
            </w:r>
            <w:proofErr w:type="spellEnd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19F7">
              <w:rPr>
                <w:rFonts w:ascii="Merriweather" w:hAnsi="Merriweather" w:cs="Times New Roman"/>
                <w:i/>
                <w:sz w:val="18"/>
                <w:szCs w:val="18"/>
              </w:rPr>
              <w:t>d'aujourd'hui</w:t>
            </w:r>
            <w:proofErr w:type="spellEnd"/>
            <w:r w:rsidRPr="008519F7">
              <w:rPr>
                <w:rFonts w:ascii="Merriweather" w:hAnsi="Merriweather" w:cs="Times New Roman"/>
                <w:sz w:val="18"/>
                <w:szCs w:val="18"/>
              </w:rPr>
              <w:t xml:space="preserve">; </w:t>
            </w:r>
          </w:p>
          <w:p w:rsidR="009A284F" w:rsidRPr="008519F7" w:rsidRDefault="00D57AC3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Maingeneau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D. (1999),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L'enonciation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en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linguistique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française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Hachette</w:t>
            </w:r>
            <w:proofErr w:type="spellEnd"/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Reboul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A.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Moeschler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J. (1998),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Dictionnaire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encyclopédique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de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pragmatique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. de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Seuil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>;</w:t>
            </w:r>
          </w:p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Austin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J.L. (1970),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Quand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dire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c'est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faire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. de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Seuil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>;</w:t>
            </w:r>
          </w:p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Searle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J. R. (1996), </w:t>
            </w:r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Les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actes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du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langage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Hermann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>,</w:t>
            </w:r>
          </w:p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K.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Kerbart-Orecchionni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(2016), </w:t>
            </w:r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Les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actes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de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langage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dans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le</w:t>
            </w:r>
            <w:proofErr w:type="spellEnd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discours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A.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Colin</w:t>
            </w:r>
            <w:proofErr w:type="spellEnd"/>
          </w:p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>Ćosić, V. (1999), „Što u sustavu jezika služi priopćavanju“, Zbornik radova Teorija i mogućnosti</w:t>
            </w:r>
          </w:p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pragmalingvistike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>, str. 25-37.</w:t>
            </w:r>
          </w:p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Pavelin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>, B. (2000/01), „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Actes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locutoire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illocutoire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perlocutoire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>, SRAZ XI.V-XI.VI, str. 109-117.</w:t>
            </w:r>
          </w:p>
          <w:p w:rsidR="009A284F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Kordić, S. (1991), „Konverzacijske </w:t>
            </w:r>
            <w:proofErr w:type="spellStart"/>
            <w:r w:rsidRPr="008519F7">
              <w:rPr>
                <w:rFonts w:ascii="Merriweather" w:eastAsia="MS Gothic" w:hAnsi="Merriweather" w:cs="Times New Roman"/>
                <w:sz w:val="18"/>
              </w:rPr>
              <w:t>implikature</w:t>
            </w:r>
            <w:proofErr w:type="spellEnd"/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“, </w:t>
            </w:r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Suvremena lingvistika</w:t>
            </w:r>
            <w:r w:rsidRPr="008519F7">
              <w:rPr>
                <w:rFonts w:ascii="Merriweather" w:eastAsia="MS Gothic" w:hAnsi="Merriweather" w:cs="Times New Roman"/>
                <w:sz w:val="18"/>
              </w:rPr>
              <w:t>, 17/31-32, str. 87-96.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A284F" w:rsidRPr="008519F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519F7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0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8519F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8519F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pismeni i usmeni završni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0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8519F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8519F7" w:rsidRDefault="001A53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8519F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8519F7" w:rsidRDefault="001A53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8519F7" w:rsidRDefault="001A53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</w:t>
            </w:r>
            <w:r w:rsidR="009A284F" w:rsidRPr="008519F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57AC3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>Pohađanje i priprema 30%, domaće zadaće 30%,pismeni ispit 40%.</w:t>
            </w:r>
          </w:p>
          <w:p w:rsidR="009A284F" w:rsidRPr="008519F7" w:rsidRDefault="00D57AC3" w:rsidP="00D57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>Student mora zadovoljiti svaki element sa 60%</w:t>
            </w:r>
          </w:p>
        </w:tc>
      </w:tr>
      <w:tr w:rsidR="009A284F" w:rsidRPr="008519F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8519F7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:rsidR="009A284F" w:rsidRPr="008519F7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8519F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519F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8519F7" w:rsidRDefault="001D6D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 xml:space="preserve">60 </w:t>
            </w:r>
            <w:r w:rsidR="009A284F" w:rsidRPr="008519F7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519F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8519F7" w:rsidRDefault="001D6D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 xml:space="preserve">70 </w:t>
            </w:r>
            <w:r w:rsidR="009A284F" w:rsidRPr="008519F7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519F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8519F7" w:rsidRDefault="001D6D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 xml:space="preserve">80 </w:t>
            </w:r>
            <w:r w:rsidR="009A284F" w:rsidRPr="008519F7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A284F" w:rsidRPr="008519F7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519F7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8519F7" w:rsidRDefault="001D6D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19F7">
              <w:rPr>
                <w:rFonts w:ascii="Merriweather" w:hAnsi="Merriweather" w:cs="Times New Roman"/>
                <w:sz w:val="18"/>
              </w:rPr>
              <w:t xml:space="preserve">90 </w:t>
            </w:r>
            <w:r w:rsidR="009A284F" w:rsidRPr="008519F7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8519F7" w:rsidRDefault="001A53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519F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8519F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A284F" w:rsidRPr="008519F7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519F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19F7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8519F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19F7">
              <w:rPr>
                <w:rFonts w:ascii="Merriweather" w:hAnsi="Merriweather" w:cs="Times New Roman"/>
              </w:rPr>
              <w:t xml:space="preserve"> </w:t>
            </w: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8519F7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19F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8519F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9A284F" w:rsidRPr="008519F7" w:rsidRDefault="009A284F" w:rsidP="00212E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19F7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</w:t>
            </w:r>
            <w:r w:rsidR="00B4202A" w:rsidRPr="008519F7">
              <w:rPr>
                <w:rFonts w:ascii="Merriweather" w:eastAsia="MS Gothic" w:hAnsi="Merriweather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19F7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5A" w:rsidRDefault="001A535A" w:rsidP="009947BA">
      <w:pPr>
        <w:spacing w:before="0" w:after="0"/>
      </w:pPr>
      <w:r>
        <w:separator/>
      </w:r>
    </w:p>
  </w:endnote>
  <w:endnote w:type="continuationSeparator" w:id="0">
    <w:p w:rsidR="001A535A" w:rsidRDefault="001A53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5A" w:rsidRDefault="001A535A" w:rsidP="009947BA">
      <w:pPr>
        <w:spacing w:before="0" w:after="0"/>
      </w:pPr>
      <w:r>
        <w:separator/>
      </w:r>
    </w:p>
  </w:footnote>
  <w:footnote w:type="continuationSeparator" w:id="0">
    <w:p w:rsidR="001A535A" w:rsidRDefault="001A53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F7" w:rsidRDefault="008519F7" w:rsidP="008519F7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9F7" w:rsidRDefault="008519F7" w:rsidP="008519F7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8519F7" w:rsidRDefault="008519F7" w:rsidP="008519F7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8519F7" w:rsidRDefault="008519F7" w:rsidP="008519F7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336B"/>
    <w:multiLevelType w:val="hybridMultilevel"/>
    <w:tmpl w:val="DE78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37EBD"/>
    <w:rsid w:val="001443A2"/>
    <w:rsid w:val="00150B32"/>
    <w:rsid w:val="00197510"/>
    <w:rsid w:val="001A535A"/>
    <w:rsid w:val="001D6D60"/>
    <w:rsid w:val="00212EAF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6D14"/>
    <w:rsid w:val="005D313C"/>
    <w:rsid w:val="005D3518"/>
    <w:rsid w:val="005E1668"/>
    <w:rsid w:val="005F3556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1490"/>
    <w:rsid w:val="007C43A4"/>
    <w:rsid w:val="007D4D2D"/>
    <w:rsid w:val="008519F7"/>
    <w:rsid w:val="00865776"/>
    <w:rsid w:val="00874D5D"/>
    <w:rsid w:val="00891C60"/>
    <w:rsid w:val="008942F0"/>
    <w:rsid w:val="008A3541"/>
    <w:rsid w:val="008D45DB"/>
    <w:rsid w:val="0090214F"/>
    <w:rsid w:val="009163E6"/>
    <w:rsid w:val="0091756E"/>
    <w:rsid w:val="009760E8"/>
    <w:rsid w:val="009943D3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A007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57AC3"/>
    <w:rsid w:val="00D944DF"/>
    <w:rsid w:val="00DA7F7B"/>
    <w:rsid w:val="00DD110C"/>
    <w:rsid w:val="00DE6D53"/>
    <w:rsid w:val="00E06E39"/>
    <w:rsid w:val="00E07D73"/>
    <w:rsid w:val="00E16FFC"/>
    <w:rsid w:val="00E17D18"/>
    <w:rsid w:val="00E30E67"/>
    <w:rsid w:val="00F02A8F"/>
    <w:rsid w:val="00F513E0"/>
    <w:rsid w:val="00F566DA"/>
    <w:rsid w:val="00F84F5E"/>
    <w:rsid w:val="00FC2198"/>
    <w:rsid w:val="00FC283E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6867-84CE-4D28-885A-7A01DB23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dcterms:created xsi:type="dcterms:W3CDTF">2022-09-30T07:24:00Z</dcterms:created>
  <dcterms:modified xsi:type="dcterms:W3CDTF">2022-09-30T07:24:00Z</dcterms:modified>
</cp:coreProperties>
</file>