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20" w:after="120"/>
        <w:jc w:val="center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Izvedbeni plan nastave (</w:t>
      </w:r>
      <w:r>
        <w:rPr>
          <w:rFonts w:cs="Times New Roman" w:ascii="Times New Roman" w:hAnsi="Times New Roman"/>
          <w:b/>
          <w:i/>
          <w:sz w:val="24"/>
        </w:rPr>
        <w:t>syllabus</w:t>
      </w:r>
      <w:r>
        <w:rPr>
          <w:rFonts w:cs="Times New Roman" w:ascii="Times New Roman" w:hAnsi="Times New Roman"/>
          <w:b/>
          <w:sz w:val="24"/>
        </w:rPr>
        <w:t>)</w:t>
      </w:r>
      <w:r>
        <w:rPr>
          <w:rStyle w:val="FootnoteReference"/>
          <w:rFonts w:cs="Times New Roman" w:ascii="Times New Roman" w:hAnsi="Times New Roman"/>
          <w:b/>
          <w:sz w:val="24"/>
        </w:rPr>
        <w:footnoteReference w:customMarkFollows="1" w:id="2"/>
        <w:t>*</w:t>
      </w:r>
    </w:p>
    <w:tbl>
      <w:tblPr>
        <w:tblStyle w:val="TableGrid"/>
        <w:tblW w:w="9288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1800"/>
        <w:gridCol w:w="462"/>
        <w:gridCol w:w="321"/>
        <w:gridCol w:w="284"/>
        <w:gridCol w:w="30"/>
        <w:gridCol w:w="217"/>
        <w:gridCol w:w="69"/>
        <w:gridCol w:w="113"/>
        <w:gridCol w:w="70"/>
        <w:gridCol w:w="164"/>
        <w:gridCol w:w="228"/>
        <w:gridCol w:w="123"/>
        <w:gridCol w:w="269"/>
        <w:gridCol w:w="439"/>
        <w:gridCol w:w="115"/>
        <w:gridCol w:w="89"/>
        <w:gridCol w:w="268"/>
        <w:gridCol w:w="374"/>
        <w:gridCol w:w="307"/>
        <w:gridCol w:w="58"/>
        <w:gridCol w:w="490"/>
        <w:gridCol w:w="428"/>
        <w:gridCol w:w="258"/>
        <w:gridCol w:w="20"/>
        <w:gridCol w:w="178"/>
        <w:gridCol w:w="380"/>
        <w:gridCol w:w="200"/>
        <w:gridCol w:w="33"/>
        <w:gridCol w:w="215"/>
        <w:gridCol w:w="101"/>
        <w:gridCol w:w="1184"/>
      </w:tblGrid>
      <w:tr>
        <w:trPr/>
        <w:tc>
          <w:tcPr>
            <w:tcW w:w="180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hr-HR" w:eastAsia="en-US" w:bidi="ar-SA"/>
              </w:rPr>
              <w:t xml:space="preserve">Naziv kolegija </w:t>
            </w:r>
          </w:p>
        </w:tc>
        <w:tc>
          <w:tcPr>
            <w:tcW w:w="5196" w:type="dxa"/>
            <w:gridSpan w:val="23"/>
            <w:tcBorders/>
            <w:vAlign w:val="cente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2"/>
                <w:lang w:val="hr-HR" w:eastAsia="en-US" w:bidi="ar-SA"/>
              </w:rPr>
              <w:t xml:space="preserve">Leksikologija i leksikografija u nastavnoj 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2"/>
                <w:lang w:val="hr-HR" w:eastAsia="en-US" w:bidi="ar-SA"/>
              </w:rPr>
              <w:t>i prevodilačkoj praksi</w:t>
            </w:r>
          </w:p>
        </w:tc>
        <w:tc>
          <w:tcPr>
            <w:tcW w:w="758" w:type="dxa"/>
            <w:gridSpan w:val="3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2"/>
                <w:lang w:val="hr-HR" w:eastAsia="en-US" w:bidi="ar-SA"/>
              </w:rPr>
              <w:t>akad. god.</w:t>
            </w:r>
          </w:p>
        </w:tc>
        <w:tc>
          <w:tcPr>
            <w:tcW w:w="1533" w:type="dxa"/>
            <w:gridSpan w:val="4"/>
            <w:tcBorders/>
            <w:vAlign w:val="center"/>
          </w:tcPr>
          <w:p>
            <w:pPr>
              <w:pStyle w:val="Normal"/>
              <w:widowControl/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hr-HR" w:eastAsia="en-US" w:bidi="ar-SA"/>
              </w:rPr>
              <w:t>202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hr-HR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hr-HR" w:eastAsia="en-US" w:bidi="ar-SA"/>
              </w:rPr>
              <w:t>./202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hr-HR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hr-HR" w:eastAsia="en-US" w:bidi="ar-SA"/>
              </w:rPr>
              <w:t>.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2"/>
                <w:lang w:val="hr-HR" w:eastAsia="en-US" w:bidi="ar-SA"/>
              </w:rPr>
              <w:t>Naziv studija</w:t>
            </w:r>
          </w:p>
        </w:tc>
        <w:tc>
          <w:tcPr>
            <w:tcW w:w="5196" w:type="dxa"/>
            <w:gridSpan w:val="23"/>
            <w:tcBorders/>
            <w:vAlign w:val="cente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hr-HR" w:eastAsia="en-US" w:bidi="ar-SA"/>
              </w:rPr>
              <w:t>Ds Francuskog jezika i književnosti; smjer, nastavnički</w:t>
            </w:r>
          </w:p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hr-HR" w:eastAsia="en-US" w:bidi="ar-SA"/>
              </w:rPr>
              <w:t>Ds Francuskog jezika i književnosti; smjer, prevoditeljski</w:t>
            </w:r>
          </w:p>
        </w:tc>
        <w:tc>
          <w:tcPr>
            <w:tcW w:w="758" w:type="dxa"/>
            <w:gridSpan w:val="3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2"/>
                <w:lang w:val="hr-HR" w:eastAsia="en-US" w:bidi="ar-SA"/>
              </w:rPr>
              <w:t>ECTS</w:t>
            </w:r>
          </w:p>
        </w:tc>
        <w:tc>
          <w:tcPr>
            <w:tcW w:w="1533" w:type="dxa"/>
            <w:gridSpan w:val="4"/>
            <w:tcBorders/>
          </w:tcPr>
          <w:p>
            <w:pPr>
              <w:pStyle w:val="Normal"/>
              <w:widowControl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2"/>
                <w:lang w:val="hr-HR" w:eastAsia="en-US" w:bidi="ar-SA"/>
              </w:rPr>
              <w:t>2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2"/>
                <w:lang w:val="hr-HR" w:eastAsia="en-US" w:bidi="ar-SA"/>
              </w:rPr>
              <w:t>Sastavnica</w:t>
            </w:r>
          </w:p>
        </w:tc>
        <w:tc>
          <w:tcPr>
            <w:tcW w:w="7487" w:type="dxa"/>
            <w:gridSpan w:val="30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Razina studija</w:t>
            </w:r>
          </w:p>
        </w:tc>
        <w:tc>
          <w:tcPr>
            <w:tcW w:w="1730" w:type="dxa"/>
            <w:gridSpan w:val="9"/>
            <w:tcBorders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75632361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18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18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pr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ijedi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plomski </w:t>
            </w:r>
          </w:p>
        </w:tc>
        <w:tc>
          <w:tcPr>
            <w:tcW w:w="1531" w:type="dxa"/>
            <w:gridSpan w:val="7"/>
            <w:tcBorders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1885978457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18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18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diplomski</w:t>
            </w:r>
          </w:p>
        </w:tc>
        <w:tc>
          <w:tcPr>
            <w:tcW w:w="1935" w:type="dxa"/>
            <w:gridSpan w:val="7"/>
            <w:tcBorders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71077460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Mincho" w:cs="MS Mincho" w:ascii="MS Mincho" w:hAnsi="MS Mincho"/>
                    <w:kern w:val="0"/>
                    <w:sz w:val="18"/>
                    <w:szCs w:val="18"/>
                    <w:lang w:val="hr-HR" w:eastAsia="en-US" w:bidi="ar-SA"/>
                  </w:rPr>
                </w:r>
                <w:r>
                  <w:rPr>
                    <w:rFonts w:eastAsia="MS Mincho" w:cs="MS Mincho" w:ascii="MS Mincho" w:hAnsi="MS Mincho"/>
                    <w:kern w:val="0"/>
                    <w:sz w:val="18"/>
                    <w:szCs w:val="18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integrirani</w:t>
            </w:r>
          </w:p>
        </w:tc>
        <w:tc>
          <w:tcPr>
            <w:tcW w:w="2291" w:type="dxa"/>
            <w:gridSpan w:val="7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89378701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Mincho" w:cs="MS Mincho" w:ascii="MS Mincho" w:hAnsi="MS Mincho"/>
                    <w:kern w:val="0"/>
                    <w:sz w:val="18"/>
                    <w:szCs w:val="18"/>
                    <w:lang w:val="hr-HR" w:eastAsia="en-US" w:bidi="ar-SA"/>
                  </w:rPr>
                </w:r>
                <w:r>
                  <w:rPr>
                    <w:rFonts w:eastAsia="MS Mincho" w:cs="MS Mincho" w:ascii="MS Mincho" w:hAnsi="MS Mincho"/>
                    <w:kern w:val="0"/>
                    <w:sz w:val="18"/>
                    <w:szCs w:val="18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poslijediplomski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Vrsta studija</w:t>
            </w:r>
          </w:p>
        </w:tc>
        <w:tc>
          <w:tcPr>
            <w:tcW w:w="1730" w:type="dxa"/>
            <w:gridSpan w:val="9"/>
            <w:tcBorders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id w:val="192499250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Mincho" w:cs="MS Mincho" w:ascii="MS Mincho" w:hAnsi="MS Mincho"/>
                    <w:kern w:val="0"/>
                    <w:sz w:val="18"/>
                    <w:szCs w:val="20"/>
                    <w:lang w:val="hr-HR" w:eastAsia="en-US" w:bidi="ar-SA"/>
                  </w:rPr>
                </w:r>
                <w:r>
                  <w:rPr>
                    <w:rFonts w:eastAsia="MS Mincho" w:cs="MS Mincho" w:ascii="MS Mincho" w:hAnsi="MS Mincho"/>
                    <w:kern w:val="0"/>
                    <w:sz w:val="18"/>
                    <w:szCs w:val="20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>jednopredmetni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715016045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0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0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>dvopredmetni</w:t>
            </w:r>
          </w:p>
        </w:tc>
        <w:tc>
          <w:tcPr>
            <w:tcW w:w="1531" w:type="dxa"/>
            <w:gridSpan w:val="7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-437830465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18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18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sveučilišni</w:t>
            </w:r>
          </w:p>
        </w:tc>
        <w:tc>
          <w:tcPr>
            <w:tcW w:w="1935" w:type="dxa"/>
            <w:gridSpan w:val="7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-135981886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Mincho" w:cs="MS Mincho" w:ascii="MS Mincho" w:hAnsi="MS Mincho"/>
                    <w:kern w:val="0"/>
                    <w:sz w:val="18"/>
                    <w:szCs w:val="18"/>
                    <w:lang w:val="hr-HR" w:eastAsia="en-US" w:bidi="ar-SA"/>
                  </w:rPr>
                </w:r>
                <w:r>
                  <w:rPr>
                    <w:rFonts w:eastAsia="MS Mincho" w:cs="MS Mincho" w:ascii="MS Mincho" w:hAnsi="MS Mincho"/>
                    <w:kern w:val="0"/>
                    <w:sz w:val="18"/>
                    <w:szCs w:val="18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stručni</w:t>
            </w:r>
          </w:p>
        </w:tc>
        <w:tc>
          <w:tcPr>
            <w:tcW w:w="2291" w:type="dxa"/>
            <w:gridSpan w:val="7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-84616893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Mincho" w:cs="MS Mincho" w:ascii="MS Mincho" w:hAnsi="MS Mincho"/>
                    <w:kern w:val="0"/>
                    <w:sz w:val="18"/>
                    <w:szCs w:val="18"/>
                    <w:lang w:val="hr-HR" w:eastAsia="en-US" w:bidi="ar-SA"/>
                  </w:rPr>
                </w:r>
                <w:r>
                  <w:rPr>
                    <w:rFonts w:eastAsia="MS Mincho" w:cs="MS Mincho" w:ascii="MS Mincho" w:hAnsi="MS Mincho"/>
                    <w:kern w:val="0"/>
                    <w:sz w:val="18"/>
                    <w:szCs w:val="18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specijalistički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Godina studija</w:t>
            </w:r>
          </w:p>
        </w:tc>
        <w:tc>
          <w:tcPr>
            <w:tcW w:w="1496" w:type="dxa"/>
            <w:gridSpan w:val="7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2060285759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1.</w:t>
            </w:r>
          </w:p>
        </w:tc>
        <w:tc>
          <w:tcPr>
            <w:tcW w:w="1497" w:type="dxa"/>
            <w:gridSpan w:val="8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200097373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2.</w:t>
            </w:r>
          </w:p>
        </w:tc>
        <w:tc>
          <w:tcPr>
            <w:tcW w:w="1497" w:type="dxa"/>
            <w:gridSpan w:val="5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2955227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Mincho" w:cs="MS Mincho" w:ascii="MS Mincho" w:hAnsi="MS Mincho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Mincho" w:cs="MS Mincho" w:ascii="MS Mincho" w:hAnsi="MS Mincho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3.</w:t>
            </w:r>
          </w:p>
        </w:tc>
        <w:tc>
          <w:tcPr>
            <w:tcW w:w="1497" w:type="dxa"/>
            <w:gridSpan w:val="7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52039406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Mincho" w:cs="MS Mincho" w:ascii="MS Mincho" w:hAnsi="MS Mincho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Mincho" w:cs="MS Mincho" w:ascii="MS Mincho" w:hAnsi="MS Mincho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4.</w:t>
            </w:r>
          </w:p>
        </w:tc>
        <w:tc>
          <w:tcPr>
            <w:tcW w:w="1500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96936524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Mincho" w:cs="MS Mincho" w:ascii="MS Mincho" w:hAnsi="MS Mincho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Mincho" w:cs="MS Mincho" w:ascii="MS Mincho" w:hAnsi="MS Mincho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5.</w:t>
            </w:r>
          </w:p>
        </w:tc>
      </w:tr>
      <w:tr>
        <w:trPr>
          <w:trHeight w:val="80" w:hRule="atLeast"/>
        </w:trPr>
        <w:tc>
          <w:tcPr>
            <w:tcW w:w="1800" w:type="dxa"/>
            <w:vMerge w:val="restart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Semestar</w:t>
            </w:r>
          </w:p>
        </w:tc>
        <w:tc>
          <w:tcPr>
            <w:tcW w:w="1067" w:type="dxa"/>
            <w:gridSpan w:val="3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id w:val="87517076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0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0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>zimski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id w:val="-6040255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0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0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>ljetni</w:t>
            </w:r>
          </w:p>
        </w:tc>
        <w:tc>
          <w:tcPr>
            <w:tcW w:w="1283" w:type="dxa"/>
            <w:gridSpan w:val="9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06671973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I.</w:t>
            </w:r>
          </w:p>
        </w:tc>
        <w:tc>
          <w:tcPr>
            <w:tcW w:w="1285" w:type="dxa"/>
            <w:gridSpan w:val="5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22519063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Mincho" w:cs="MS Mincho" w:ascii="MS Mincho" w:hAnsi="MS Mincho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Mincho" w:cs="MS Mincho" w:ascii="MS Mincho" w:hAnsi="MS Mincho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II.</w:t>
            </w:r>
          </w:p>
        </w:tc>
        <w:tc>
          <w:tcPr>
            <w:tcW w:w="1283" w:type="dxa"/>
            <w:gridSpan w:val="4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5210073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III.</w:t>
            </w:r>
          </w:p>
        </w:tc>
        <w:tc>
          <w:tcPr>
            <w:tcW w:w="1284" w:type="dxa"/>
            <w:gridSpan w:val="7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11806053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Mincho" w:cs="MS Mincho" w:ascii="MS Mincho" w:hAnsi="MS Mincho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Mincho" w:cs="MS Mincho" w:ascii="MS Mincho" w:hAnsi="MS Mincho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IV.</w:t>
            </w:r>
          </w:p>
        </w:tc>
        <w:tc>
          <w:tcPr>
            <w:tcW w:w="1285" w:type="dxa"/>
            <w:gridSpan w:val="2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08719695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Mincho" w:cs="MS Mincho" w:ascii="MS Mincho" w:hAnsi="MS Mincho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Mincho" w:cs="MS Mincho" w:ascii="MS Mincho" w:hAnsi="MS Mincho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V.</w:t>
            </w:r>
          </w:p>
        </w:tc>
      </w:tr>
      <w:tr>
        <w:trPr>
          <w:trHeight w:val="80" w:hRule="atLeast"/>
        </w:trPr>
        <w:tc>
          <w:tcPr>
            <w:tcW w:w="1800" w:type="dxa"/>
            <w:vMerge w:val="continue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</w:r>
          </w:p>
        </w:tc>
        <w:tc>
          <w:tcPr>
            <w:tcW w:w="1067" w:type="dxa"/>
            <w:gridSpan w:val="3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</w:r>
          </w:p>
        </w:tc>
        <w:tc>
          <w:tcPr>
            <w:tcW w:w="1283" w:type="dxa"/>
            <w:gridSpan w:val="9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97853242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VI.</w:t>
            </w:r>
          </w:p>
        </w:tc>
        <w:tc>
          <w:tcPr>
            <w:tcW w:w="1285" w:type="dxa"/>
            <w:gridSpan w:val="5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66351502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Mincho" w:cs="MS Mincho" w:ascii="MS Mincho" w:hAnsi="MS Mincho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Mincho" w:cs="MS Mincho" w:ascii="MS Mincho" w:hAnsi="MS Mincho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VII.</w:t>
            </w:r>
          </w:p>
        </w:tc>
        <w:tc>
          <w:tcPr>
            <w:tcW w:w="1283" w:type="dxa"/>
            <w:gridSpan w:val="4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60723147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Mincho" w:cs="MS Mincho" w:ascii="MS Mincho" w:hAnsi="MS Mincho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Mincho" w:cs="MS Mincho" w:ascii="MS Mincho" w:hAnsi="MS Mincho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VIII.</w:t>
            </w:r>
          </w:p>
        </w:tc>
        <w:tc>
          <w:tcPr>
            <w:tcW w:w="1284" w:type="dxa"/>
            <w:gridSpan w:val="7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48939842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Mincho" w:cs="MS Mincho" w:ascii="MS Mincho" w:hAnsi="MS Mincho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Mincho" w:cs="MS Mincho" w:ascii="MS Mincho" w:hAnsi="MS Mincho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IX.</w:t>
            </w:r>
          </w:p>
        </w:tc>
        <w:tc>
          <w:tcPr>
            <w:tcW w:w="1285" w:type="dxa"/>
            <w:gridSpan w:val="2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20616895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Mincho" w:cs="MS Mincho" w:ascii="MS Mincho" w:hAnsi="MS Mincho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Mincho" w:cs="MS Mincho" w:ascii="MS Mincho" w:hAnsi="MS Mincho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X.</w:t>
            </w:r>
          </w:p>
        </w:tc>
      </w:tr>
      <w:tr>
        <w:trPr>
          <w:trHeight w:val="80" w:hRule="atLeast"/>
        </w:trPr>
        <w:tc>
          <w:tcPr>
            <w:tcW w:w="180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Status kolegija</w:t>
            </w:r>
          </w:p>
        </w:tc>
        <w:tc>
          <w:tcPr>
            <w:tcW w:w="1067" w:type="dxa"/>
            <w:gridSpan w:val="3"/>
            <w:tcBorders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id w:val="-116508570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Mincho" w:cs="MS Mincho" w:ascii="MS Mincho" w:hAnsi="MS Mincho"/>
                    <w:kern w:val="0"/>
                    <w:sz w:val="18"/>
                    <w:szCs w:val="20"/>
                    <w:lang w:val="hr-HR" w:eastAsia="en-US" w:bidi="ar-SA"/>
                  </w:rPr>
                </w:r>
                <w:r>
                  <w:rPr>
                    <w:rFonts w:eastAsia="MS Mincho" w:cs="MS Mincho" w:ascii="MS Mincho" w:hAnsi="MS Mincho"/>
                    <w:kern w:val="0"/>
                    <w:sz w:val="18"/>
                    <w:szCs w:val="20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>obvezni kolegij</w:t>
            </w:r>
          </w:p>
        </w:tc>
        <w:tc>
          <w:tcPr>
            <w:tcW w:w="1283" w:type="dxa"/>
            <w:gridSpan w:val="9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720933748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0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0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>izborni kolegij</w:t>
            </w:r>
          </w:p>
        </w:tc>
        <w:tc>
          <w:tcPr>
            <w:tcW w:w="2568" w:type="dxa"/>
            <w:gridSpan w:val="9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904208918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0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0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>izborni kolegij koji se nudi studentima drugih odjela</w:t>
            </w:r>
          </w:p>
        </w:tc>
        <w:tc>
          <w:tcPr>
            <w:tcW w:w="1284" w:type="dxa"/>
            <w:gridSpan w:val="7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Nastavničke kompetencije</w:t>
            </w:r>
          </w:p>
        </w:tc>
        <w:tc>
          <w:tcPr>
            <w:tcW w:w="1285" w:type="dxa"/>
            <w:gridSpan w:val="2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30334634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Mincho" w:cs="MS Mincho" w:ascii="MS Mincho" w:hAnsi="MS Mincho"/>
                    <w:kern w:val="0"/>
                    <w:sz w:val="18"/>
                    <w:szCs w:val="20"/>
                    <w:lang w:val="hr-HR" w:eastAsia="en-US" w:bidi="ar-SA"/>
                  </w:rPr>
                </w:r>
                <w:r>
                  <w:rPr>
                    <w:rFonts w:eastAsia="MS Mincho" w:cs="MS Mincho" w:ascii="MS Mincho" w:hAnsi="MS Mincho"/>
                    <w:kern w:val="0"/>
                    <w:sz w:val="18"/>
                    <w:szCs w:val="20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 xml:space="preserve">DA </w:t>
            </w:r>
            <w:sdt>
              <w:sdtPr>
                <w:id w:val="754021596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Calibri" w:cs="Times New Roman" w:ascii="Times New Roman" w:hAnsi="Times New Roman"/>
                    <w:kern w:val="0"/>
                    <w:sz w:val="18"/>
                    <w:szCs w:val="20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0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 xml:space="preserve"> NE</w:t>
            </w:r>
          </w:p>
        </w:tc>
      </w:tr>
      <w:tr>
        <w:trPr>
          <w:trHeight w:val="80" w:hRule="atLeast"/>
        </w:trPr>
        <w:tc>
          <w:tcPr>
            <w:tcW w:w="180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Opterećenje</w:t>
            </w:r>
          </w:p>
        </w:tc>
        <w:tc>
          <w:tcPr>
            <w:tcW w:w="462" w:type="dxa"/>
            <w:tcBorders/>
          </w:tcPr>
          <w:p>
            <w:pPr>
              <w:pStyle w:val="Normal"/>
              <w:widowControl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>15</w:t>
            </w:r>
          </w:p>
        </w:tc>
        <w:tc>
          <w:tcPr>
            <w:tcW w:w="321" w:type="dxa"/>
            <w:tcBorders/>
          </w:tcPr>
          <w:p>
            <w:pPr>
              <w:pStyle w:val="Normal"/>
              <w:widowControl/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0"/>
                <w:lang w:val="hr-HR" w:eastAsia="en-US" w:bidi="ar-SA"/>
              </w:rPr>
              <w:t>P</w:t>
            </w:r>
          </w:p>
        </w:tc>
        <w:tc>
          <w:tcPr>
            <w:tcW w:w="531" w:type="dxa"/>
            <w:gridSpan w:val="3"/>
            <w:tcBorders/>
          </w:tcPr>
          <w:p>
            <w:pPr>
              <w:pStyle w:val="Normal"/>
              <w:widowControl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>15</w:t>
            </w:r>
          </w:p>
        </w:tc>
        <w:tc>
          <w:tcPr>
            <w:tcW w:w="252" w:type="dxa"/>
            <w:gridSpan w:val="3"/>
            <w:tcBorders/>
          </w:tcPr>
          <w:p>
            <w:pPr>
              <w:pStyle w:val="Normal"/>
              <w:widowControl/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0"/>
                <w:lang w:val="hr-HR" w:eastAsia="en-US" w:bidi="ar-SA"/>
              </w:rPr>
              <w:t>S</w:t>
            </w:r>
          </w:p>
        </w:tc>
        <w:tc>
          <w:tcPr>
            <w:tcW w:w="392" w:type="dxa"/>
            <w:gridSpan w:val="2"/>
            <w:tcBorders/>
          </w:tcPr>
          <w:p>
            <w:pPr>
              <w:pStyle w:val="Normal"/>
              <w:widowControl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</w:r>
          </w:p>
        </w:tc>
        <w:tc>
          <w:tcPr>
            <w:tcW w:w="392" w:type="dxa"/>
            <w:gridSpan w:val="2"/>
            <w:tcBorders/>
          </w:tcPr>
          <w:p>
            <w:pPr>
              <w:pStyle w:val="Normal"/>
              <w:widowControl/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0"/>
                <w:lang w:val="hr-HR" w:eastAsia="en-US" w:bidi="ar-SA"/>
              </w:rPr>
              <w:t>V</w:t>
            </w:r>
          </w:p>
        </w:tc>
        <w:tc>
          <w:tcPr>
            <w:tcW w:w="3852" w:type="dxa"/>
            <w:gridSpan w:val="16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0"/>
                <w:lang w:val="hr-HR" w:eastAsia="en-US" w:bidi="ar-SA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id w:val="106021678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Mincho" w:cs="MS Mincho" w:ascii="MS Mincho" w:hAnsi="MS Mincho"/>
                    <w:kern w:val="0"/>
                    <w:sz w:val="18"/>
                    <w:szCs w:val="20"/>
                    <w:lang w:val="hr-HR" w:eastAsia="en-US" w:bidi="ar-SA"/>
                  </w:rPr>
                </w:r>
                <w:r>
                  <w:rPr>
                    <w:rFonts w:eastAsia="MS Mincho" w:cs="MS Mincho" w:ascii="MS Mincho" w:hAnsi="MS Mincho"/>
                    <w:kern w:val="0"/>
                    <w:sz w:val="18"/>
                    <w:szCs w:val="20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 xml:space="preserve">DA </w:t>
            </w:r>
            <w:sdt>
              <w:sdtPr>
                <w:id w:val="-419796202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Calibri" w:cs="Times New Roman" w:ascii="Times New Roman" w:hAnsi="Times New Roman"/>
                    <w:kern w:val="0"/>
                    <w:sz w:val="18"/>
                    <w:szCs w:val="20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0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 xml:space="preserve"> NE</w:t>
            </w:r>
          </w:p>
        </w:tc>
      </w:tr>
      <w:tr>
        <w:trPr>
          <w:trHeight w:val="80" w:hRule="atLeast"/>
        </w:trPr>
        <w:tc>
          <w:tcPr>
            <w:tcW w:w="180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Mjesto i vrijeme izvođenja nastave</w:t>
            </w:r>
          </w:p>
        </w:tc>
        <w:tc>
          <w:tcPr>
            <w:tcW w:w="2350" w:type="dxa"/>
            <w:gridSpan w:val="12"/>
            <w:tcBorders/>
            <w:vAlign w:val="center"/>
          </w:tcPr>
          <w:p>
            <w:pPr>
              <w:pStyle w:val="Normal"/>
              <w:widowControl/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0"/>
                <w:lang w:val="hr-HR" w:eastAsia="en-US" w:bidi="ar-SA"/>
              </w:rPr>
              <w:t>Odjel za francuske i frankofonske studije, prema rasporedu</w:t>
            </w:r>
          </w:p>
        </w:tc>
        <w:tc>
          <w:tcPr>
            <w:tcW w:w="3852" w:type="dxa"/>
            <w:gridSpan w:val="16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end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Jezik/jezici na kojima se izvodi kolegij</w:t>
            </w:r>
          </w:p>
        </w:tc>
        <w:tc>
          <w:tcPr>
            <w:tcW w:w="1285" w:type="dxa"/>
            <w:gridSpan w:val="2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>francuski</w:t>
            </w:r>
          </w:p>
        </w:tc>
      </w:tr>
      <w:tr>
        <w:trPr>
          <w:trHeight w:val="80" w:hRule="atLeast"/>
        </w:trPr>
        <w:tc>
          <w:tcPr>
            <w:tcW w:w="180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Početak nastave</w:t>
            </w:r>
          </w:p>
        </w:tc>
        <w:tc>
          <w:tcPr>
            <w:tcW w:w="2350" w:type="dxa"/>
            <w:gridSpan w:val="12"/>
            <w:tcBorders/>
            <w:vAlign w:val="center"/>
          </w:tcPr>
          <w:p>
            <w:pPr>
              <w:pStyle w:val="Normal"/>
              <w:widowControl/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Prema rasporedu</w:t>
            </w:r>
          </w:p>
        </w:tc>
        <w:tc>
          <w:tcPr>
            <w:tcW w:w="3852" w:type="dxa"/>
            <w:gridSpan w:val="16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end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Završetak nastave</w:t>
            </w:r>
          </w:p>
        </w:tc>
        <w:tc>
          <w:tcPr>
            <w:tcW w:w="1285" w:type="dxa"/>
            <w:gridSpan w:val="2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Prema rasporedu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Preduvjeti za upis kolegija</w:t>
            </w:r>
          </w:p>
        </w:tc>
        <w:tc>
          <w:tcPr>
            <w:tcW w:w="7487" w:type="dxa"/>
            <w:gridSpan w:val="30"/>
            <w:tcBorders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nema</w:t>
            </w:r>
          </w:p>
        </w:tc>
      </w:tr>
      <w:tr>
        <w:trPr/>
        <w:tc>
          <w:tcPr>
            <w:tcW w:w="9287" w:type="dxa"/>
            <w:gridSpan w:val="31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Nositelj i izvođač kolegija</w:t>
            </w:r>
          </w:p>
        </w:tc>
        <w:tc>
          <w:tcPr>
            <w:tcW w:w="7487" w:type="dxa"/>
            <w:gridSpan w:val="30"/>
            <w:tcBorders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dr. sc. Barbara Vodanović, izv. prof.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end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E-mail</w:t>
            </w:r>
          </w:p>
        </w:tc>
        <w:tc>
          <w:tcPr>
            <w:tcW w:w="4000" w:type="dxa"/>
            <w:gridSpan w:val="19"/>
            <w:tcBorders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bvodanov@unizd.hr</w:t>
            </w:r>
          </w:p>
        </w:tc>
        <w:tc>
          <w:tcPr>
            <w:tcW w:w="1196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Konzultacije</w:t>
            </w:r>
          </w:p>
        </w:tc>
        <w:tc>
          <w:tcPr>
            <w:tcW w:w="2291" w:type="dxa"/>
            <w:gridSpan w:val="7"/>
            <w:tcBorders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Utorak, 12-14</w:t>
            </w:r>
          </w:p>
        </w:tc>
      </w:tr>
      <w:tr>
        <w:trPr/>
        <w:tc>
          <w:tcPr>
            <w:tcW w:w="9287" w:type="dxa"/>
            <w:gridSpan w:val="31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</w:r>
          </w:p>
        </w:tc>
      </w:tr>
      <w:tr>
        <w:trPr/>
        <w:tc>
          <w:tcPr>
            <w:tcW w:w="1800" w:type="dxa"/>
            <w:vMerge w:val="restart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Vrste izvođenja nastave</w:t>
            </w:r>
          </w:p>
        </w:tc>
        <w:tc>
          <w:tcPr>
            <w:tcW w:w="1496" w:type="dxa"/>
            <w:gridSpan w:val="7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370884770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predavanja</w:t>
            </w:r>
          </w:p>
        </w:tc>
        <w:tc>
          <w:tcPr>
            <w:tcW w:w="1497" w:type="dxa"/>
            <w:gridSpan w:val="8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179322703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seminari i radionice</w:t>
            </w:r>
          </w:p>
        </w:tc>
        <w:tc>
          <w:tcPr>
            <w:tcW w:w="1497" w:type="dxa"/>
            <w:gridSpan w:val="5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97024089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Mincho" w:cs="MS Mincho" w:ascii="MS Mincho" w:hAnsi="MS Mincho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Mincho" w:cs="MS Mincho" w:ascii="MS Mincho" w:hAnsi="MS Mincho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vježbe</w:t>
            </w:r>
          </w:p>
        </w:tc>
        <w:tc>
          <w:tcPr>
            <w:tcW w:w="1497" w:type="dxa"/>
            <w:gridSpan w:val="7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476534076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e-učenje</w:t>
            </w:r>
          </w:p>
        </w:tc>
        <w:tc>
          <w:tcPr>
            <w:tcW w:w="1500" w:type="dxa"/>
            <w:gridSpan w:val="3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91477403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Mincho" w:cs="MS Mincho" w:ascii="MS Mincho" w:hAnsi="MS Mincho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Mincho" w:cs="MS Mincho" w:ascii="MS Mincho" w:hAnsi="MS Mincho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terenska nastava</w:t>
            </w:r>
          </w:p>
        </w:tc>
      </w:tr>
      <w:tr>
        <w:trPr/>
        <w:tc>
          <w:tcPr>
            <w:tcW w:w="180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</w:r>
          </w:p>
        </w:tc>
        <w:tc>
          <w:tcPr>
            <w:tcW w:w="1496" w:type="dxa"/>
            <w:gridSpan w:val="7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93586953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Mincho" w:cs="MS Mincho" w:ascii="MS Mincho" w:hAnsi="MS Mincho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Mincho" w:cs="MS Mincho" w:ascii="MS Mincho" w:hAnsi="MS Mincho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samostalni zadaci</w:t>
            </w:r>
          </w:p>
        </w:tc>
        <w:tc>
          <w:tcPr>
            <w:tcW w:w="1497" w:type="dxa"/>
            <w:gridSpan w:val="8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41107747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Mincho" w:cs="MS Mincho" w:ascii="MS Mincho" w:hAnsi="MS Mincho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Mincho" w:cs="MS Mincho" w:ascii="MS Mincho" w:hAnsi="MS Mincho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multimedija i mreža</w:t>
            </w:r>
          </w:p>
        </w:tc>
        <w:tc>
          <w:tcPr>
            <w:tcW w:w="1497" w:type="dxa"/>
            <w:gridSpan w:val="5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203826531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Mincho" w:cs="MS Mincho" w:ascii="MS Mincho" w:hAnsi="MS Mincho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Mincho" w:cs="MS Mincho" w:ascii="MS Mincho" w:hAnsi="MS Mincho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laboratorij</w:t>
            </w:r>
          </w:p>
        </w:tc>
        <w:tc>
          <w:tcPr>
            <w:tcW w:w="1497" w:type="dxa"/>
            <w:gridSpan w:val="7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76568249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Mincho" w:cs="MS Mincho" w:ascii="MS Mincho" w:hAnsi="MS Mincho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Mincho" w:cs="MS Mincho" w:ascii="MS Mincho" w:hAnsi="MS Mincho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mentorski rad</w:t>
            </w:r>
          </w:p>
        </w:tc>
        <w:tc>
          <w:tcPr>
            <w:tcW w:w="1500" w:type="dxa"/>
            <w:gridSpan w:val="3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83075590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Mincho" w:cs="MS Mincho" w:ascii="MS Mincho" w:hAnsi="MS Mincho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Mincho" w:cs="MS Mincho" w:ascii="MS Mincho" w:hAnsi="MS Mincho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ostalo</w:t>
            </w:r>
          </w:p>
        </w:tc>
      </w:tr>
      <w:tr>
        <w:trPr/>
        <w:tc>
          <w:tcPr>
            <w:tcW w:w="3296" w:type="dxa"/>
            <w:gridSpan w:val="8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Ishodi učenja kolegija</w:t>
            </w:r>
          </w:p>
        </w:tc>
        <w:tc>
          <w:tcPr>
            <w:tcW w:w="5991" w:type="dxa"/>
            <w:gridSpan w:val="23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identificirati leksičke jedinice i razine jezične raslojenosti, prepoznati vrste izvedenica i složenica, objasniti pragmatičke i sociolingvističkih aspekte derivacije i kompozicije, koristiti rječničke podatke u nastavi stranog jezika i kod prevođenja,  koristiti alate za formalnu analizu leksika.</w:t>
            </w:r>
          </w:p>
        </w:tc>
      </w:tr>
      <w:tr>
        <w:trPr/>
        <w:tc>
          <w:tcPr>
            <w:tcW w:w="3296" w:type="dxa"/>
            <w:gridSpan w:val="8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Ishodi učenja na razini programa kojima kolegij doprinosi</w:t>
            </w:r>
          </w:p>
        </w:tc>
        <w:tc>
          <w:tcPr>
            <w:tcW w:w="5991" w:type="dxa"/>
            <w:gridSpan w:val="23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softHyphen/>
              <w:t xml:space="preserve"> - identificirati i razumjeti temeljne suvremene lingvističke discipline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softHyphen/>
              <w:t xml:space="preserve"> - znati upotrijebiti tehnike istraživačkoga rada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softHyphen/>
              <w:t xml:space="preserve"> - analizirati uporabu jezika primjenom lingvističkih teorija i metoda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softHyphen/>
              <w:t xml:space="preserve"> - znati prezentirati i kritički objasniti vlastite stavove prilikom rasprave o jezičnim datostima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- valorizirati stručnu literaturu na hrvatskom i francuskom jeziku</w:t>
            </w:r>
          </w:p>
        </w:tc>
      </w:tr>
      <w:tr>
        <w:trPr/>
        <w:tc>
          <w:tcPr>
            <w:tcW w:w="9287" w:type="dxa"/>
            <w:gridSpan w:val="31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</w:r>
          </w:p>
        </w:tc>
      </w:tr>
      <w:tr>
        <w:trPr>
          <w:trHeight w:val="190" w:hRule="atLeast"/>
        </w:trPr>
        <w:tc>
          <w:tcPr>
            <w:tcW w:w="1800" w:type="dxa"/>
            <w:vMerge w:val="restart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Načini praćenja studenata</w:t>
            </w:r>
          </w:p>
        </w:tc>
        <w:tc>
          <w:tcPr>
            <w:tcW w:w="1496" w:type="dxa"/>
            <w:gridSpan w:val="7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655562244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pohađanje nastave</w:t>
            </w:r>
          </w:p>
        </w:tc>
        <w:tc>
          <w:tcPr>
            <w:tcW w:w="1497" w:type="dxa"/>
            <w:gridSpan w:val="8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960602510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priprema za nastavu</w:t>
            </w:r>
          </w:p>
        </w:tc>
        <w:tc>
          <w:tcPr>
            <w:tcW w:w="1497" w:type="dxa"/>
            <w:gridSpan w:val="5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4626437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domaće zadaće</w:t>
            </w:r>
          </w:p>
        </w:tc>
        <w:tc>
          <w:tcPr>
            <w:tcW w:w="1497" w:type="dxa"/>
            <w:gridSpan w:val="7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20911235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kontinuirana evaluacija</w:t>
            </w:r>
          </w:p>
        </w:tc>
        <w:tc>
          <w:tcPr>
            <w:tcW w:w="1500" w:type="dxa"/>
            <w:gridSpan w:val="3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43064134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istraživanje</w:t>
            </w:r>
          </w:p>
        </w:tc>
      </w:tr>
      <w:tr>
        <w:trPr>
          <w:trHeight w:val="190" w:hRule="atLeast"/>
        </w:trPr>
        <w:tc>
          <w:tcPr>
            <w:tcW w:w="180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</w:r>
          </w:p>
        </w:tc>
        <w:tc>
          <w:tcPr>
            <w:tcW w:w="1496" w:type="dxa"/>
            <w:gridSpan w:val="7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84112380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praktični rad</w:t>
            </w:r>
          </w:p>
        </w:tc>
        <w:tc>
          <w:tcPr>
            <w:tcW w:w="1497" w:type="dxa"/>
            <w:gridSpan w:val="8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83303864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6"/>
                <w:szCs w:val="22"/>
                <w:lang w:val="hr-HR" w:eastAsia="en-US" w:bidi="ar-SA"/>
              </w:rPr>
              <w:t>eksperimentalni rad</w:t>
            </w:r>
          </w:p>
        </w:tc>
        <w:tc>
          <w:tcPr>
            <w:tcW w:w="1497" w:type="dxa"/>
            <w:gridSpan w:val="5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04640576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izlaganje</w:t>
            </w:r>
          </w:p>
        </w:tc>
        <w:tc>
          <w:tcPr>
            <w:tcW w:w="1497" w:type="dxa"/>
            <w:gridSpan w:val="7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78677004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projekt</w:t>
            </w:r>
          </w:p>
        </w:tc>
        <w:tc>
          <w:tcPr>
            <w:tcW w:w="1500" w:type="dxa"/>
            <w:gridSpan w:val="3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747874460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seminar</w:t>
            </w:r>
          </w:p>
        </w:tc>
      </w:tr>
      <w:tr>
        <w:trPr>
          <w:trHeight w:val="190" w:hRule="atLeast"/>
        </w:trPr>
        <w:tc>
          <w:tcPr>
            <w:tcW w:w="180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</w:r>
          </w:p>
        </w:tc>
        <w:tc>
          <w:tcPr>
            <w:tcW w:w="1496" w:type="dxa"/>
            <w:gridSpan w:val="7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212350202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kolokvij(i)</w:t>
            </w:r>
          </w:p>
        </w:tc>
        <w:tc>
          <w:tcPr>
            <w:tcW w:w="1497" w:type="dxa"/>
            <w:gridSpan w:val="8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64474805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pismeni ispit</w:t>
            </w:r>
          </w:p>
        </w:tc>
        <w:tc>
          <w:tcPr>
            <w:tcW w:w="1497" w:type="dxa"/>
            <w:gridSpan w:val="5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611010417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usmeni ispit</w:t>
            </w:r>
          </w:p>
        </w:tc>
        <w:tc>
          <w:tcPr>
            <w:tcW w:w="2997" w:type="dxa"/>
            <w:gridSpan w:val="10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67029269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ostalo: 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Uvjeti pristupanja ispitu</w:t>
            </w:r>
          </w:p>
        </w:tc>
        <w:tc>
          <w:tcPr>
            <w:tcW w:w="7487" w:type="dxa"/>
            <w:gridSpan w:val="30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Redovitost na nastavi 70%, prihvaćen seminarski rad i održana prezentacija.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i/>
                <w:i/>
                <w:sz w:val="1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Ispitni rokovi</w:t>
            </w:r>
          </w:p>
        </w:tc>
        <w:tc>
          <w:tcPr>
            <w:tcW w:w="2904" w:type="dxa"/>
            <w:gridSpan w:val="14"/>
            <w:tcBorders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474301983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zimski ispitni rok </w:t>
            </w:r>
          </w:p>
        </w:tc>
        <w:tc>
          <w:tcPr>
            <w:tcW w:w="2470" w:type="dxa"/>
            <w:gridSpan w:val="10"/>
            <w:tcBorders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10060173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Mincho" w:cs="MS Mincho" w:ascii="MS Mincho" w:hAnsi="MS Mincho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Mincho" w:cs="MS Mincho" w:ascii="MS Mincho" w:hAnsi="MS Mincho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ljetni ispitni rok</w:t>
            </w:r>
          </w:p>
        </w:tc>
        <w:tc>
          <w:tcPr>
            <w:tcW w:w="2113" w:type="dxa"/>
            <w:gridSpan w:val="6"/>
            <w:tcBorders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44519774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jesenski ispitni rok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Termini ispitnih rokova</w:t>
            </w:r>
          </w:p>
        </w:tc>
        <w:tc>
          <w:tcPr>
            <w:tcW w:w="2904" w:type="dxa"/>
            <w:gridSpan w:val="14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Prema rasporedu</w:t>
            </w:r>
          </w:p>
        </w:tc>
        <w:tc>
          <w:tcPr>
            <w:tcW w:w="2470" w:type="dxa"/>
            <w:gridSpan w:val="10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</w:r>
          </w:p>
        </w:tc>
        <w:tc>
          <w:tcPr>
            <w:tcW w:w="2113" w:type="dxa"/>
            <w:gridSpan w:val="6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Opis kolegija</w:t>
            </w:r>
          </w:p>
        </w:tc>
        <w:tc>
          <w:tcPr>
            <w:tcW w:w="7487" w:type="dxa"/>
            <w:gridSpan w:val="30"/>
            <w:tcBorders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Ovladavanje terminologijom iz područja leksikologije i leksikografije, prepoznavanje i analiziranje leksičkih pitanja te identificiranje problema normiranja leksika, primjena odgovarajućih metoda u podučavanju leksika, izrada seminarskog rada na temelju formalne analize korpusa.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Sadržaj kolegija (nastavne teme)</w:t>
            </w:r>
          </w:p>
        </w:tc>
        <w:tc>
          <w:tcPr>
            <w:tcW w:w="7487" w:type="dxa"/>
            <w:gridSpan w:val="30"/>
            <w:tcBorders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1. Leksikologija/leksikografija/frazeologija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2. Problem definiranja riječi.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3. Leksička morfologija. Kreiranje riječi u dijakroniji.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4. Analiza riječi u sinkroniji. Tvorba riječi.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5. Tipovi derivacije, pragmatički i sociolingvistički aspekti derivacije (neologizmi, franglais).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6. Kompozicija. Tipovi složenica.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7. Frazemi i kolokacije. 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8. Jezična raslojenosti i kulturno uvjetovani leksik.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9. Problemi prevođenja višesložnih i kulturno uvjetovanih izraza.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10. Osnove frazeodidaktike. 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11. Leksik u nastavi drugog i stranog jezika.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12. Leksik u nastavi drugog i stranog jezika.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13. Makro i  mirostruktura rječnika. Pitanje leksikografske definicije.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14. Leksikografske tehnike i postupci. Problematika polisemije u leksikografiji.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15. Ekstrakcija i rukovanje leksičkim podatcima u alatu </w:t>
            </w:r>
            <w:r>
              <w:rPr>
                <w:rFonts w:eastAsia="MS Gothic" w:cs="Times New Roman" w:ascii="Times New Roman" w:hAnsi="Times New Roman"/>
                <w:i/>
                <w:kern w:val="0"/>
                <w:sz w:val="18"/>
                <w:szCs w:val="22"/>
                <w:lang w:val="hr-HR" w:eastAsia="en-US" w:bidi="ar-SA"/>
              </w:rPr>
              <w:t>SketchEngine.</w:t>
            </w: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Obvezna literatura</w:t>
            </w:r>
          </w:p>
        </w:tc>
        <w:tc>
          <w:tcPr>
            <w:tcW w:w="7487" w:type="dxa"/>
            <w:gridSpan w:val="30"/>
            <w:tcBorders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A. Lehman, F. Martin-Berthet, (2010), </w:t>
            </w:r>
            <w:r>
              <w:rPr>
                <w:rFonts w:eastAsia="MS Gothic" w:cs="Times New Roman" w:ascii="Times New Roman" w:hAnsi="Times New Roman"/>
                <w:i/>
                <w:kern w:val="0"/>
                <w:sz w:val="18"/>
                <w:szCs w:val="22"/>
                <w:lang w:val="hr-HR" w:eastAsia="en-US" w:bidi="ar-SA"/>
              </w:rPr>
              <w:t>Introduction à la lexicologie</w:t>
            </w: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, Armand Colin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I. Gonzalèz Rey (2015), </w:t>
            </w:r>
            <w:r>
              <w:rPr>
                <w:rFonts w:eastAsia="MS Gothic" w:cs="Times New Roman" w:ascii="Times New Roman" w:hAnsi="Times New Roman"/>
                <w:i/>
                <w:kern w:val="0"/>
                <w:sz w:val="18"/>
                <w:szCs w:val="22"/>
                <w:lang w:val="hr-HR" w:eastAsia="en-US" w:bidi="ar-SA"/>
              </w:rPr>
              <w:t>Phraséologie du français</w:t>
            </w: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, Hachette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eastAsia="MS Gothic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hr-HR" w:eastAsia="hr-HR" w:bidi="ar-SA"/>
              </w:rPr>
              <w:t xml:space="preserve">M. Sułkowska, (2013),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18"/>
                <w:szCs w:val="18"/>
                <w:lang w:val="hr-HR" w:eastAsia="hr-HR" w:bidi="ar-SA"/>
              </w:rPr>
              <w:t xml:space="preserve">De la phraséologie à la phraséodidactique,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hr-HR" w:eastAsia="hr-HR" w:bidi="ar-SA"/>
              </w:rPr>
              <w:t>Katowice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Udier, S.L. „Pristup obradi leksičkih jedinica u nastavi hrvatskoga kao drugoga i stranoga jezika“, </w:t>
            </w:r>
            <w:r>
              <w:rPr>
                <w:rFonts w:eastAsia="MS Gothic" w:cs="Times New Roman" w:ascii="Times New Roman" w:hAnsi="Times New Roman"/>
                <w:i/>
                <w:kern w:val="0"/>
                <w:sz w:val="18"/>
                <w:szCs w:val="22"/>
                <w:lang w:val="hr-HR" w:eastAsia="en-US" w:bidi="ar-SA"/>
              </w:rPr>
              <w:t>Lahor</w:t>
            </w: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, Časopis za hrvatski kao materinski, drugi i strani jezik (1846-2197) </w:t>
            </w:r>
            <w:r>
              <w:rPr>
                <w:rFonts w:eastAsia="MS Gothic" w:cs="Times New Roman" w:ascii="Times New Roman" w:hAnsi="Times New Roman"/>
                <w:b/>
                <w:bCs/>
                <w:kern w:val="0"/>
                <w:sz w:val="18"/>
                <w:szCs w:val="22"/>
                <w:lang w:val="hr-HR" w:eastAsia="en-US" w:bidi="ar-SA"/>
              </w:rPr>
              <w:t>1</w:t>
            </w: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 (2009), 7; 77-94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 xml:space="preserve">Dodatna literatura </w:t>
            </w:r>
          </w:p>
        </w:tc>
        <w:tc>
          <w:tcPr>
            <w:tcW w:w="7487" w:type="dxa"/>
            <w:gridSpan w:val="30"/>
            <w:tcBorders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Ch. Gledhill, </w:t>
            </w:r>
            <w:r>
              <w:rPr>
                <w:rFonts w:eastAsia="MS Gothic" w:cs="Times New Roman" w:ascii="Times New Roman" w:hAnsi="Times New Roman"/>
                <w:i/>
                <w:kern w:val="0"/>
                <w:sz w:val="18"/>
                <w:szCs w:val="22"/>
                <w:lang w:val="hr-HR" w:eastAsia="en-US" w:bidi="ar-SA"/>
              </w:rPr>
              <w:t>La phraséologie dans l’analyse des genres textuels</w:t>
            </w: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, Birmingham, Aston University Publications (PDF)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A. Tutin, (2009-2010), </w:t>
            </w:r>
            <w:r>
              <w:rPr>
                <w:rFonts w:eastAsia="MS Gothic" w:cs="Times New Roman" w:ascii="Times New Roman" w:hAnsi="Times New Roman"/>
                <w:i/>
                <w:kern w:val="0"/>
                <w:sz w:val="18"/>
                <w:szCs w:val="22"/>
                <w:lang w:val="hr-HR" w:eastAsia="en-US" w:bidi="ar-SA"/>
              </w:rPr>
              <w:t>Modélisation des association lexicales</w:t>
            </w: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, Grenoble 3;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G. Blagus Bartolec, (2008), „Leksičke funkcije kao pokazatelji značenjskih odnosa u kolokacijskim svezama hrvatskoga jezika“, Rasprave IHJJ; 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A. Polguère, (2008), </w:t>
            </w:r>
            <w:r>
              <w:rPr>
                <w:rFonts w:eastAsia="MS Gothic" w:cs="Times New Roman" w:ascii="Times New Roman" w:hAnsi="Times New Roman"/>
                <w:i/>
                <w:kern w:val="0"/>
                <w:sz w:val="18"/>
                <w:szCs w:val="22"/>
                <w:lang w:val="hr-HR" w:eastAsia="en-US" w:bidi="ar-SA"/>
              </w:rPr>
              <w:t>Lexicologie et sémantique lexicale,</w:t>
            </w: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Les Presses de l'Université de Montréal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M. Samarđija, (1995), </w:t>
            </w:r>
            <w:r>
              <w:rPr>
                <w:rFonts w:eastAsia="MS Gothic" w:cs="Times New Roman" w:ascii="Times New Roman" w:hAnsi="Times New Roman"/>
                <w:i/>
                <w:kern w:val="0"/>
                <w:sz w:val="18"/>
                <w:szCs w:val="22"/>
                <w:lang w:val="hr-HR" w:eastAsia="en-US" w:bidi="ar-SA"/>
              </w:rPr>
              <w:t>Leksikografija hrvatskoga jezika</w:t>
            </w: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, Školska knjiga;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B. Tafra, (2005), </w:t>
            </w:r>
            <w:r>
              <w:rPr>
                <w:rFonts w:eastAsia="MS Gothic" w:cs="Times New Roman" w:ascii="Times New Roman" w:hAnsi="Times New Roman"/>
                <w:i/>
                <w:kern w:val="0"/>
                <w:sz w:val="18"/>
                <w:szCs w:val="22"/>
                <w:lang w:val="hr-HR" w:eastAsia="en-US" w:bidi="ar-SA"/>
              </w:rPr>
              <w:t>Od riječi do rječnika</w:t>
            </w: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, Školska knjiga, odabrana poglavlja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 xml:space="preserve">Mrežni izvori </w:t>
            </w:r>
          </w:p>
        </w:tc>
        <w:tc>
          <w:tcPr>
            <w:tcW w:w="7487" w:type="dxa"/>
            <w:gridSpan w:val="30"/>
            <w:tcBorders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eastAsia="MS Gothic" w:cs="Times New Roman"/>
                <w:sz w:val="18"/>
              </w:rPr>
            </w:pPr>
            <w:hyperlink r:id="rId2">
              <w:r>
                <w:rPr>
                  <w:rStyle w:val="Hyperlink"/>
                  <w:rFonts w:eastAsia="MS Gothic" w:cs="Times New Roman" w:ascii="Times New Roman" w:hAnsi="Times New Roman"/>
                  <w:kern w:val="0"/>
                  <w:sz w:val="18"/>
                  <w:szCs w:val="22"/>
                  <w:lang w:val="hr-HR" w:eastAsia="en-US" w:bidi="ar-SA"/>
                </w:rPr>
                <w:t>https://www.sketchengine.eu</w:t>
              </w:r>
            </w:hyperlink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; </w:t>
            </w:r>
            <w:hyperlink r:id="rId3">
              <w:r>
                <w:rPr>
                  <w:rStyle w:val="Hyperlink"/>
                  <w:rFonts w:eastAsia="MS Gothic" w:cs="Times New Roman" w:ascii="Times New Roman" w:hAnsi="Times New Roman"/>
                  <w:kern w:val="0"/>
                  <w:sz w:val="18"/>
                  <w:szCs w:val="22"/>
                  <w:lang w:val="hr-HR" w:eastAsia="en-US" w:bidi="ar-SA"/>
                </w:rPr>
                <w:t>www.larousse.fr</w:t>
              </w:r>
            </w:hyperlink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; </w:t>
            </w:r>
            <w:hyperlink r:id="rId4">
              <w:r>
                <w:rPr>
                  <w:rStyle w:val="Hyperlink"/>
                  <w:rFonts w:eastAsia="MS Gothic" w:cs="Times New Roman" w:ascii="Times New Roman" w:hAnsi="Times New Roman"/>
                  <w:kern w:val="0"/>
                  <w:sz w:val="18"/>
                  <w:szCs w:val="22"/>
                  <w:lang w:val="hr-HR" w:eastAsia="en-US" w:bidi="ar-SA"/>
                </w:rPr>
                <w:t>http://atilf.atilf.fr/</w:t>
              </w:r>
            </w:hyperlink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,  </w:t>
            </w:r>
            <w:hyperlink r:id="rId5">
              <w:r>
                <w:rPr>
                  <w:rStyle w:val="Hyperlink"/>
                  <w:rFonts w:eastAsia="MS Gothic" w:cs="Times New Roman" w:ascii="Times New Roman" w:hAnsi="Times New Roman"/>
                  <w:kern w:val="0"/>
                  <w:sz w:val="18"/>
                  <w:szCs w:val="22"/>
                  <w:lang w:val="hr-HR" w:eastAsia="en-US" w:bidi="ar-SA"/>
                </w:rPr>
                <w:t>http://ihjj.hr/</w:t>
              </w:r>
            </w:hyperlink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</w:p>
        </w:tc>
      </w:tr>
      <w:tr>
        <w:trPr/>
        <w:tc>
          <w:tcPr>
            <w:tcW w:w="1800" w:type="dxa"/>
            <w:vMerge w:val="restart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Provjera ishoda učenja (prema uputama AZVO)</w:t>
            </w:r>
          </w:p>
        </w:tc>
        <w:tc>
          <w:tcPr>
            <w:tcW w:w="5754" w:type="dxa"/>
            <w:gridSpan w:val="25"/>
            <w:tcBorders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hr-HR" w:bidi="ar-SA"/>
              </w:rPr>
              <w:t>Samo završni ispit</w:t>
            </w:r>
          </w:p>
        </w:tc>
        <w:tc>
          <w:tcPr>
            <w:tcW w:w="1733" w:type="dxa"/>
            <w:gridSpan w:val="5"/>
            <w:tcBorders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0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</w:r>
          </w:p>
        </w:tc>
        <w:tc>
          <w:tcPr>
            <w:tcW w:w="2081" w:type="dxa"/>
            <w:gridSpan w:val="11"/>
            <w:tcBorders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id w:val="49415121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hr-HR" w:bidi="ar-SA"/>
              </w:rPr>
              <w:t>završni</w:t>
            </w:r>
          </w:p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hr-HR" w:bidi="ar-SA"/>
              </w:rPr>
              <w:t>pismeni ispit</w:t>
            </w:r>
          </w:p>
        </w:tc>
        <w:tc>
          <w:tcPr>
            <w:tcW w:w="1861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id w:val="-98277143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hr-HR" w:bidi="ar-SA"/>
              </w:rPr>
              <w:t>završni</w:t>
            </w:r>
          </w:p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hr-HR" w:bidi="ar-SA"/>
              </w:rPr>
              <w:t>usmeni ispit</w:t>
            </w:r>
          </w:p>
        </w:tc>
        <w:tc>
          <w:tcPr>
            <w:tcW w:w="1812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id w:val="-162014467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hr-HR" w:bidi="ar-SA"/>
              </w:rPr>
              <w:t>pismeni i usmeni završni ispit</w:t>
            </w:r>
          </w:p>
        </w:tc>
        <w:tc>
          <w:tcPr>
            <w:tcW w:w="1733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id w:val="130126242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hr-HR" w:bidi="ar-SA"/>
              </w:rPr>
              <w:t>praktični rad i završni ispit</w:t>
            </w:r>
          </w:p>
        </w:tc>
      </w:tr>
      <w:tr>
        <w:trPr/>
        <w:tc>
          <w:tcPr>
            <w:tcW w:w="180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</w:r>
          </w:p>
        </w:tc>
        <w:tc>
          <w:tcPr>
            <w:tcW w:w="1383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id w:val="-148592839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hr-HR" w:bidi="ar-SA"/>
              </w:rPr>
              <w:t>samo kolokvij/zadaće</w:t>
            </w:r>
          </w:p>
        </w:tc>
        <w:tc>
          <w:tcPr>
            <w:tcW w:w="1406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id w:val="31638897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hr-HR" w:bidi="ar-SA"/>
              </w:rPr>
              <w:t>kolokvij / zadaća i završni ispit</w:t>
            </w:r>
          </w:p>
        </w:tc>
        <w:tc>
          <w:tcPr>
            <w:tcW w:w="1153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id w:val="80080832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hr-HR" w:bidi="ar-SA"/>
              </w:rPr>
              <w:t>seminarski</w:t>
            </w:r>
          </w:p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hr-HR" w:bidi="ar-SA"/>
              </w:rPr>
              <w:t>rad</w:t>
            </w:r>
          </w:p>
        </w:tc>
        <w:tc>
          <w:tcPr>
            <w:tcW w:w="123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id w:val="967551978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hr-HR" w:bidi="ar-SA"/>
              </w:rPr>
              <w:t>seminarski</w:t>
            </w:r>
          </w:p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hr-HR" w:bidi="ar-SA"/>
              </w:rPr>
              <w:t>rad i završni ispit</w:t>
            </w:r>
          </w:p>
        </w:tc>
        <w:tc>
          <w:tcPr>
            <w:tcW w:w="1127" w:type="dxa"/>
            <w:gridSpan w:val="7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759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id w:val="144843512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hr-HR" w:bidi="ar-SA"/>
              </w:rPr>
              <w:t>praktični rad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759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id w:val="-48886511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hr-HR" w:bidi="ar-SA"/>
              </w:rPr>
              <w:t>drugi oblici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Način formiranja završne ocjene (%)</w:t>
            </w:r>
          </w:p>
        </w:tc>
        <w:tc>
          <w:tcPr>
            <w:tcW w:w="7487" w:type="dxa"/>
            <w:gridSpan w:val="30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50% seminarski rad, 50% završni ispit</w:t>
            </w:r>
          </w:p>
        </w:tc>
      </w:tr>
      <w:tr>
        <w:trPr/>
        <w:tc>
          <w:tcPr>
            <w:tcW w:w="1800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 xml:space="preserve">Ocjenjivanje </w:t>
            </w:r>
          </w:p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&lt;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0</w:t>
            </w:r>
          </w:p>
        </w:tc>
        <w:tc>
          <w:tcPr>
            <w:tcW w:w="6390" w:type="dxa"/>
            <w:gridSpan w:val="26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% nedovoljan (1)</w:t>
            </w:r>
          </w:p>
        </w:tc>
      </w:tr>
      <w:tr>
        <w:trPr/>
        <w:tc>
          <w:tcPr>
            <w:tcW w:w="180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</w:r>
          </w:p>
        </w:tc>
        <w:tc>
          <w:tcPr>
            <w:tcW w:w="1097" w:type="dxa"/>
            <w:gridSpan w:val="4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60</w:t>
            </w:r>
          </w:p>
        </w:tc>
        <w:tc>
          <w:tcPr>
            <w:tcW w:w="6390" w:type="dxa"/>
            <w:gridSpan w:val="26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% dovoljan (2)</w:t>
            </w:r>
          </w:p>
        </w:tc>
      </w:tr>
      <w:tr>
        <w:trPr/>
        <w:tc>
          <w:tcPr>
            <w:tcW w:w="180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</w:r>
          </w:p>
        </w:tc>
        <w:tc>
          <w:tcPr>
            <w:tcW w:w="1097" w:type="dxa"/>
            <w:gridSpan w:val="4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70</w:t>
            </w:r>
          </w:p>
        </w:tc>
        <w:tc>
          <w:tcPr>
            <w:tcW w:w="6390" w:type="dxa"/>
            <w:gridSpan w:val="26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% dobar (3)</w:t>
            </w:r>
          </w:p>
        </w:tc>
      </w:tr>
      <w:tr>
        <w:trPr/>
        <w:tc>
          <w:tcPr>
            <w:tcW w:w="180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</w:r>
          </w:p>
        </w:tc>
        <w:tc>
          <w:tcPr>
            <w:tcW w:w="1097" w:type="dxa"/>
            <w:gridSpan w:val="4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80</w:t>
            </w:r>
          </w:p>
        </w:tc>
        <w:tc>
          <w:tcPr>
            <w:tcW w:w="6390" w:type="dxa"/>
            <w:gridSpan w:val="26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% vrlo dobar (4)</w:t>
            </w:r>
          </w:p>
        </w:tc>
      </w:tr>
      <w:tr>
        <w:trPr/>
        <w:tc>
          <w:tcPr>
            <w:tcW w:w="180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</w:r>
          </w:p>
        </w:tc>
        <w:tc>
          <w:tcPr>
            <w:tcW w:w="1097" w:type="dxa"/>
            <w:gridSpan w:val="4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90</w:t>
            </w:r>
          </w:p>
        </w:tc>
        <w:tc>
          <w:tcPr>
            <w:tcW w:w="6390" w:type="dxa"/>
            <w:gridSpan w:val="26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% izvrstan (5)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Način praćenja kvalitete</w:t>
            </w:r>
          </w:p>
        </w:tc>
        <w:tc>
          <w:tcPr>
            <w:tcW w:w="7487" w:type="dxa"/>
            <w:gridSpan w:val="30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153876494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studentska evaluacija nastave na razini Sveučilišta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69172249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studentska evaluacija nastave na razini sastavnice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133704654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☒</w:t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interna evaluacija nastave 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378395116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tematske sjednice stručnih vijeća sastavnica o kvaliteti nastave i rezultatima studentske ankete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start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29051674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ostalo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star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Napomena / Ostalo</w:t>
            </w:r>
          </w:p>
        </w:tc>
        <w:tc>
          <w:tcPr>
            <w:tcW w:w="7487" w:type="dxa"/>
            <w:gridSpan w:val="30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both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Sukladno čl. 6. </w:t>
            </w:r>
            <w:r>
              <w:rPr>
                <w:rFonts w:eastAsia="MS Gothic" w:cs="Times New Roman" w:ascii="Times New Roman" w:hAnsi="Times New Roman"/>
                <w:i/>
                <w:kern w:val="0"/>
                <w:sz w:val="18"/>
                <w:szCs w:val="22"/>
                <w:lang w:val="hr-HR" w:eastAsia="en-US" w:bidi="ar-SA"/>
              </w:rPr>
              <w:t>Etičkog kodeksa</w:t>
            </w: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both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Prema čl. 14. </w:t>
            </w:r>
            <w:r>
              <w:rPr>
                <w:rFonts w:eastAsia="MS Gothic" w:cs="Times New Roman" w:ascii="Times New Roman" w:hAnsi="Times New Roman"/>
                <w:i/>
                <w:kern w:val="0"/>
                <w:sz w:val="18"/>
                <w:szCs w:val="22"/>
                <w:lang w:val="hr-HR" w:eastAsia="en-US" w:bidi="ar-SA"/>
              </w:rPr>
              <w:t>Etičkog kodeksa</w:t>
            </w: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[…] 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both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Etički je nedopušten svaki čin koji predstavlja povrjedu akademskog poštenja. To uključuje, ali se ne ograničava samo na: 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both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both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both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6">
              <w:r>
                <w:rPr>
                  <w:rStyle w:val="Hyperlink"/>
                  <w:rFonts w:eastAsia="MS Gothic" w:cs="Times New Roman" w:ascii="Times New Roman" w:hAnsi="Times New Roman"/>
                  <w:i/>
                  <w:color w:val="auto"/>
                  <w:kern w:val="0"/>
                  <w:sz w:val="18"/>
                  <w:szCs w:val="22"/>
                  <w:lang w:val="hr-HR" w:eastAsia="en-US" w:bidi="ar-SA"/>
                </w:rPr>
                <w:t>Pravilnik o stegovnoj odgovornosti studenata/studentica Sveučilišta u Zadru</w:t>
              </w:r>
            </w:hyperlink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both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both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both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</w:p>
        </w:tc>
      </w:tr>
    </w:tbl>
    <w:p>
      <w:pPr>
        <w:pStyle w:val="Normal"/>
        <w:spacing w:before="120" w:after="120"/>
        <w:rPr>
          <w:rFonts w:ascii="Georgia" w:hAnsi="Georgia" w:cs="Times New Roman"/>
          <w:sz w:val="24"/>
        </w:rPr>
      </w:pPr>
      <w:r>
        <w:rPr>
          <w:rFonts w:cs="Times New Roman" w:ascii="Georgia" w:hAnsi="Georgia"/>
          <w:sz w:val="24"/>
        </w:rPr>
      </w:r>
    </w:p>
    <w:sectPr>
      <w:headerReference w:type="even" r:id="rId7"/>
      <w:headerReference w:type="default" r:id="rId8"/>
      <w:headerReference w:type="first" r:id="rId9"/>
      <w:footnotePr>
        <w:numFmt w:val="decimal"/>
      </w:footnotePr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Tahoma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MS Gothic">
    <w:charset w:val="ee" w:characterSet="windows-1250"/>
    <w:family w:val="roman"/>
    <w:pitch w:val="variable"/>
  </w:font>
  <w:font w:name="MS Mincho">
    <w:charset w:val="ee" w:characterSet="windows-1250"/>
    <w:family w:val="roman"/>
    <w:pitch w:val="variable"/>
  </w:font>
  <w:font w:name="Georgia">
    <w:charset w:val="ee" w:characterSet="windows-125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Znakovifusnota"/>
        </w:rPr>
        <w:t>*</w:t>
      </w:r>
      <w:r>
        <w:rPr/>
        <w:t xml:space="preserve"> </w:t>
      </w:r>
      <w:r>
        <w:rPr>
          <w:rFonts w:cs="Times New Roman" w:ascii="Times New Roman" w:hAnsi="Times New Roman"/>
          <w:i/>
          <w:color w:themeColor="text1" w:themeTint="bf" w:val="404040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1851025" cy="657225"/>
          <wp:effectExtent l="0" t="0" r="0" b="0"/>
          <wp:docPr id="1" name="Picture 2" descr="https://www.unizd.hr/Portals/0/Images/brand/UniZD_Logo-HR.png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https://www.unizd.hr/Portals/0/Images/brand/UniZD_Logo-HR.png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1851025" cy="657225"/>
          <wp:effectExtent l="0" t="0" r="0" b="0"/>
          <wp:docPr id="2" name="Picture 2" descr="https://www.unizd.hr/Portals/0/Images/brand/UniZD_Logo-HR.png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ttps://www.unizd.hr/Portals/0/Images/brand/UniZD_Logo-HR.png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120" w:after="12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hr-H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94496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uiPriority w:val="99"/>
    <w:qFormat/>
    <w:rsid w:val="009947ba"/>
    <w:rPr/>
  </w:style>
  <w:style w:type="character" w:styleId="FooterChar" w:customStyle="1">
    <w:name w:val="Footer Char"/>
    <w:basedOn w:val="DefaultParagraphFont"/>
    <w:uiPriority w:val="99"/>
    <w:qFormat/>
    <w:rsid w:val="009947ba"/>
    <w:rPr/>
  </w:style>
  <w:style w:type="character" w:styleId="Hyperlink">
    <w:name w:val="Hyperlink"/>
    <w:basedOn w:val="DefaultParagraphFont"/>
    <w:uiPriority w:val="99"/>
    <w:unhideWhenUsed/>
    <w:rsid w:val="00197510"/>
    <w:rPr>
      <w:color w:themeColor="hyperlink" w:val="0000FF"/>
      <w:u w:val="single"/>
    </w:rPr>
  </w:style>
  <w:style w:type="character" w:styleId="Heading2Char" w:customStyle="1">
    <w:name w:val="Heading 2 Char"/>
    <w:basedOn w:val="DefaultParagraphFont"/>
    <w:uiPriority w:val="9"/>
    <w:qFormat/>
    <w:rsid w:val="0079745e"/>
    <w:rPr>
      <w:rFonts w:ascii="Times New Roman" w:hAnsi="Times New Roman" w:eastAsia="Times New Roman" w:cs="Times New Roman"/>
      <w:b/>
      <w:bCs/>
      <w:sz w:val="36"/>
      <w:szCs w:val="36"/>
      <w:lang w:eastAsia="hr-HR"/>
    </w:rPr>
  </w:style>
  <w:style w:type="character" w:styleId="FootnoteTextChar" w:customStyle="1">
    <w:name w:val="Footnote Text Char"/>
    <w:basedOn w:val="DefaultParagraphFont"/>
    <w:uiPriority w:val="99"/>
    <w:semiHidden/>
    <w:qFormat/>
    <w:rsid w:val="004923f4"/>
    <w:rPr>
      <w:sz w:val="20"/>
      <w:szCs w:val="20"/>
    </w:rPr>
  </w:style>
  <w:style w:type="character" w:styleId="Znakovifusnota">
    <w:name w:val="Znakovi fusnota"/>
    <w:basedOn w:val="DefaultParagraphFont"/>
    <w:uiPriority w:val="99"/>
    <w:semiHidden/>
    <w:unhideWhenUsed/>
    <w:qFormat/>
    <w:rsid w:val="004923f4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c656b"/>
    <w:rPr>
      <w:color w:themeColor="followedHyperlink" w:val="800080"/>
      <w:u w:val="single"/>
    </w:rPr>
  </w:style>
  <w:style w:type="character" w:styleId="EndnoteReference">
    <w:name w:val="Endnote Reference"/>
    <w:rPr>
      <w:vertAlign w:val="superscript"/>
    </w:rPr>
  </w:style>
  <w:style w:type="character" w:styleId="Znakovizavrnihbiljeki">
    <w:name w:val="Znakovi završnih bilješki"/>
    <w:qFormat/>
    <w:rPr/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94496"/>
    <w:pPr>
      <w:spacing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spacing w:before="120" w:after="120"/>
      <w:ind w:start="720"/>
      <w:contextualSpacing/>
    </w:pPr>
    <w:rPr/>
  </w:style>
  <w:style w:type="paragraph" w:styleId="Zaglavljeipodnoje">
    <w:name w:val="Zaglavlje i podnožje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ketchengine.eu/" TargetMode="External"/><Relationship Id="rId3" Type="http://schemas.openxmlformats.org/officeDocument/2006/relationships/hyperlink" Target="http://www.larousse.fr/" TargetMode="External"/><Relationship Id="rId4" Type="http://schemas.openxmlformats.org/officeDocument/2006/relationships/hyperlink" Target="http://atilf.atilf.fr/" TargetMode="External"/><Relationship Id="rId5" Type="http://schemas.openxmlformats.org/officeDocument/2006/relationships/hyperlink" Target="http://ihjj.hr/" TargetMode="External"/><Relationship Id="rId6" Type="http://schemas.openxmlformats.org/officeDocument/2006/relationships/hyperlink" Target="http://www.unizd.hr/Portals/0/doc/doc_pdf_dokumenti/pravilnici/pravilnik_o_stegovnoj_odgovornosti_studenata_20150917.pdf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notes" Target="footnotes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92215-A12E-4562-9A8B-6DBB7AFC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LibreOffice/24.2.0.3$Windows_X86_64 LibreOffice_project/da48488a73ddd66ea24cf16bbc4f7b9c08e9bea1</Application>
  <AppVersion>15.0000</AppVersion>
  <Pages>3</Pages>
  <Words>1040</Words>
  <Characters>6329</Characters>
  <CharactersWithSpaces>7280</CharactersWithSpaces>
  <Paragraphs>192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2023-03-27T12:34:00Z</dcterms:created>
  <dc:creator>ILončar</dc:creator>
  <dc:description/>
  <dc:language>hr-HR</dc:language>
  <cp:lastModifiedBy/>
  <dcterms:modified xsi:type="dcterms:W3CDTF">2024-07-18T18:16:05Z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