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1D7" w14:textId="6DFEA803" w:rsidR="005F44CA" w:rsidRPr="00FF1020" w:rsidRDefault="001077A3" w:rsidP="005F44CA">
      <w:pPr>
        <w:jc w:val="center"/>
        <w:rPr>
          <w:rFonts w:ascii="Merriweather" w:hAnsi="Merriweather"/>
          <w:b/>
          <w:sz w:val="24"/>
        </w:rPr>
      </w:pPr>
      <w:r>
        <w:rPr>
          <w:b/>
          <w:bCs/>
        </w:rPr>
        <w:t>Department of French and Francophone Studies</w:t>
      </w:r>
      <w:r w:rsidRPr="00FF1020">
        <w:rPr>
          <w:rFonts w:ascii="Merriweather" w:hAnsi="Merriweather"/>
          <w:b/>
          <w:i/>
          <w:sz w:val="24"/>
        </w:rPr>
        <w:t xml:space="preserve"> </w:t>
      </w:r>
      <w:r w:rsidR="005F44CA"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2C299D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52489E5E" w:rsidR="005F44CA" w:rsidRPr="001077A3" w:rsidRDefault="001077A3" w:rsidP="00A14666">
            <w:pPr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r w:rsidRPr="001077A3">
              <w:rPr>
                <w:rFonts w:ascii="Merriweather" w:hAnsi="Merriweather"/>
                <w:sz w:val="20"/>
                <w:szCs w:val="20"/>
              </w:rPr>
              <w:t>Department of French and Francophone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2C299D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6103D871" w:rsidR="005F44CA" w:rsidRPr="00F03BE1" w:rsidRDefault="00722E16" w:rsidP="00A14666">
            <w:pPr>
              <w:spacing w:before="20" w:after="20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Contemporary </w:t>
            </w:r>
            <w:r w:rsidR="001077A3" w:rsidRPr="00F03BE1">
              <w:rPr>
                <w:rFonts w:ascii="Merriweather" w:hAnsi="Merriweather"/>
                <w:b/>
                <w:bCs/>
                <w:sz w:val="20"/>
                <w:szCs w:val="20"/>
              </w:rPr>
              <w:t>Translation Theories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and Poetics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44DB4A29" w:rsidR="005F44CA" w:rsidRPr="00CF5812" w:rsidRDefault="00722E16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</w:p>
        </w:tc>
      </w:tr>
      <w:tr w:rsidR="005F44CA" w:rsidRPr="00CF5812" w14:paraId="2F8B4ECD" w14:textId="77777777" w:rsidTr="002C299D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0D85C109" w:rsidR="005F44CA" w:rsidRPr="00CF5812" w:rsidRDefault="001077A3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Master of French Language and Literature, option Translation</w:t>
            </w:r>
          </w:p>
        </w:tc>
      </w:tr>
      <w:tr w:rsidR="005F44CA" w:rsidRPr="00CF5812" w14:paraId="28B476B2" w14:textId="77777777" w:rsidTr="002C299D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3E7F751F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2C299D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7DD6CCD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474BEA1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2C299D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080BE4BD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0EFE9088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2C299D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45B7F4AE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55A90BC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12634F7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cs="MS Mincho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5A0A7920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2E16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2C299D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2C299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212642A4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63DC8F4A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E08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4A58C1B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2C299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07A79C91" w:rsidR="005F44CA" w:rsidRPr="001951FC" w:rsidRDefault="001077A3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384F1499" w:rsidR="005F44CA" w:rsidRPr="001951FC" w:rsidRDefault="001077A3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266C2296" w:rsidR="005F44CA" w:rsidRPr="001951FC" w:rsidRDefault="00E61B3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5B1F71DF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77A3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2C299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0334501F" w:rsidR="005F44CA" w:rsidRPr="001077A3" w:rsidRDefault="001077A3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1077A3">
              <w:rPr>
                <w:rFonts w:ascii="Merriweather" w:hAnsi="Merriweather"/>
                <w:bCs/>
                <w:sz w:val="18"/>
                <w:szCs w:val="20"/>
              </w:rPr>
              <w:t>Old Campus, according to the schedule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6E08D9C0" w:rsidR="005F44CA" w:rsidRPr="00CF5812" w:rsidRDefault="001077A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French</w:t>
            </w:r>
          </w:p>
        </w:tc>
      </w:tr>
      <w:tr w:rsidR="005F44CA" w:rsidRPr="00CF5812" w14:paraId="7D7F880F" w14:textId="77777777" w:rsidTr="002C299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2FED00D8" w:rsidR="005F44CA" w:rsidRPr="00F03BE1" w:rsidRDefault="00E61B3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02</w:t>
            </w:r>
            <w:r w:rsidR="001077A3" w:rsidRPr="00F03BE1">
              <w:rPr>
                <w:rFonts w:ascii="Merriweather" w:hAnsi="Merriweather"/>
                <w:b/>
                <w:sz w:val="18"/>
                <w:szCs w:val="20"/>
              </w:rPr>
              <w:t>.</w:t>
            </w:r>
            <w:r>
              <w:rPr>
                <w:rFonts w:ascii="Merriweather" w:hAnsi="Merriweather"/>
                <w:b/>
                <w:sz w:val="18"/>
                <w:szCs w:val="20"/>
              </w:rPr>
              <w:t>1</w:t>
            </w:r>
            <w:r w:rsidR="001077A3" w:rsidRPr="00F03BE1">
              <w:rPr>
                <w:rFonts w:ascii="Merriweather" w:hAnsi="Merriweather"/>
                <w:b/>
                <w:sz w:val="18"/>
                <w:szCs w:val="20"/>
              </w:rPr>
              <w:t>0.202</w:t>
            </w:r>
            <w:r>
              <w:rPr>
                <w:rFonts w:ascii="Merriweather" w:hAnsi="Merriweather"/>
                <w:b/>
                <w:sz w:val="18"/>
                <w:szCs w:val="20"/>
              </w:rPr>
              <w:t>4</w:t>
            </w:r>
            <w:r w:rsidR="001077A3" w:rsidRPr="00F03BE1">
              <w:rPr>
                <w:rFonts w:ascii="Merriweather" w:hAnsi="Merriweather"/>
                <w:b/>
                <w:sz w:val="18"/>
                <w:szCs w:val="20"/>
              </w:rPr>
              <w:t>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3EA2D9CF" w:rsidR="005F44CA" w:rsidRPr="00CF5812" w:rsidRDefault="00E61B3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17</w:t>
            </w:r>
            <w:r w:rsidR="001077A3">
              <w:rPr>
                <w:rFonts w:ascii="Merriweather" w:hAnsi="Merriweather"/>
                <w:sz w:val="18"/>
                <w:szCs w:val="20"/>
              </w:rPr>
              <w:t>.0</w:t>
            </w:r>
            <w:r>
              <w:rPr>
                <w:rFonts w:ascii="Merriweather" w:hAnsi="Merriweather"/>
                <w:sz w:val="18"/>
                <w:szCs w:val="20"/>
              </w:rPr>
              <w:t>1</w:t>
            </w:r>
            <w:r w:rsidR="001077A3">
              <w:rPr>
                <w:rFonts w:ascii="Merriweather" w:hAnsi="Merriweather"/>
                <w:sz w:val="18"/>
                <w:szCs w:val="20"/>
              </w:rPr>
              <w:t>.2025.</w:t>
            </w:r>
          </w:p>
        </w:tc>
      </w:tr>
      <w:tr w:rsidR="005F44CA" w:rsidRPr="00CF5812" w14:paraId="7C965793" w14:textId="77777777" w:rsidTr="002C299D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67D30B7A" w:rsidR="005F44CA" w:rsidRPr="00CF5812" w:rsidRDefault="00F75F6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French language competencies for incoming students; enrolled </w:t>
            </w:r>
            <w:r w:rsidR="00E61B32">
              <w:rPr>
                <w:rFonts w:ascii="Merriweather" w:hAnsi="Merriweather"/>
                <w:sz w:val="18"/>
              </w:rPr>
              <w:t>3</w:t>
            </w:r>
            <w:r w:rsidR="00E61B32">
              <w:rPr>
                <w:rFonts w:ascii="Merriweather" w:hAnsi="Merriweather"/>
                <w:sz w:val="18"/>
                <w:vertAlign w:val="superscript"/>
              </w:rPr>
              <w:t>r</w:t>
            </w:r>
            <w:r w:rsidRPr="00F75F6E">
              <w:rPr>
                <w:rFonts w:ascii="Merriweather" w:hAnsi="Merriweather"/>
                <w:sz w:val="18"/>
                <w:vertAlign w:val="superscript"/>
              </w:rPr>
              <w:t>d</w:t>
            </w:r>
            <w:r>
              <w:rPr>
                <w:rFonts w:ascii="Merriweather" w:hAnsi="Merriweather"/>
                <w:sz w:val="18"/>
              </w:rPr>
              <w:t xml:space="preserve"> semester of the </w:t>
            </w:r>
            <w:r w:rsidR="00E61B32">
              <w:rPr>
                <w:rFonts w:ascii="Merriweather" w:hAnsi="Merriweather"/>
                <w:sz w:val="18"/>
              </w:rPr>
              <w:t>2</w:t>
            </w:r>
            <w:r w:rsidR="00E61B32">
              <w:rPr>
                <w:rFonts w:ascii="Merriweather" w:hAnsi="Merriweather"/>
                <w:sz w:val="18"/>
                <w:vertAlign w:val="superscript"/>
              </w:rPr>
              <w:t>nd</w:t>
            </w:r>
            <w:r>
              <w:rPr>
                <w:rFonts w:ascii="Merriweather" w:hAnsi="Merriweather"/>
                <w:sz w:val="18"/>
              </w:rPr>
              <w:t xml:space="preserve"> year for regular students.</w:t>
            </w:r>
          </w:p>
        </w:tc>
      </w:tr>
      <w:tr w:rsidR="005F44CA" w:rsidRPr="00CF5812" w14:paraId="63386589" w14:textId="77777777" w:rsidTr="002C299D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2C299D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51393408" w:rsidR="005F44CA" w:rsidRPr="00CF5812" w:rsidRDefault="00F75F6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Vanda Mikšić, PhD</w:t>
            </w:r>
          </w:p>
        </w:tc>
      </w:tr>
      <w:tr w:rsidR="005F44CA" w:rsidRPr="00CF5812" w14:paraId="63B0DA0F" w14:textId="77777777" w:rsidTr="002C299D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0354C2C0" w:rsidR="005F44CA" w:rsidRPr="00CF5812" w:rsidRDefault="00F75F6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vmiksic@unizd.hr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23E90F84" w:rsidR="005F44CA" w:rsidRPr="00CF5812" w:rsidRDefault="00F75F6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Tue 10-12 AM</w:t>
            </w:r>
          </w:p>
        </w:tc>
      </w:tr>
      <w:tr w:rsidR="005F44CA" w:rsidRPr="00CF5812" w14:paraId="68F5C625" w14:textId="77777777" w:rsidTr="002C299D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127206B4" w:rsidR="005F44CA" w:rsidRPr="00CF5812" w:rsidRDefault="00F75F6E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Vanda Mikšić, PhD</w:t>
            </w:r>
          </w:p>
        </w:tc>
      </w:tr>
      <w:tr w:rsidR="005F44CA" w:rsidRPr="00CF5812" w14:paraId="3148D4C9" w14:textId="77777777" w:rsidTr="002C299D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2C299D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2C299D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2C299D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2C299D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3EB9BB6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F6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19EB42D0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F6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4507A09D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F6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2C299D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1348D176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F6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2C299D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64E6B238" w14:textId="77777777" w:rsidR="00B95832" w:rsidRPr="00B95832" w:rsidRDefault="00B95832" w:rsidP="00B95832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At the end of this course students will be able to:</w:t>
            </w:r>
          </w:p>
          <w:p w14:paraId="014FEA82" w14:textId="77777777" w:rsidR="00B95832" w:rsidRPr="00B95832" w:rsidRDefault="00B95832" w:rsidP="00B95832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1) distinguish several theoretical and poetic approaches to literary translation</w:t>
            </w:r>
          </w:p>
          <w:p w14:paraId="71E440BC" w14:textId="77777777" w:rsidR="00B95832" w:rsidRPr="00B95832" w:rsidRDefault="00B95832" w:rsidP="00B95832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2) recognize and handle basic terminology, as well as recognize the main features of some translation theories and poetics,</w:t>
            </w:r>
          </w:p>
          <w:p w14:paraId="5C945F63" w14:textId="6EE15E15" w:rsidR="00B95832" w:rsidRPr="00B95832" w:rsidRDefault="00B95832" w:rsidP="00B95832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3) compare a</w:t>
            </w:r>
            <w:r w:rsidR="003B52A8">
              <w:rPr>
                <w:rFonts w:ascii="Merriweather" w:hAnsi="Merriweather"/>
                <w:bCs/>
                <w:sz w:val="18"/>
                <w:szCs w:val="18"/>
                <w:lang w:val="en-GB"/>
              </w:rPr>
              <w:t>s</w:t>
            </w: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pects of different translation theories and poetics,</w:t>
            </w:r>
          </w:p>
          <w:p w14:paraId="431C3E58" w14:textId="77777777" w:rsidR="00B95832" w:rsidRPr="00B95832" w:rsidRDefault="00B95832" w:rsidP="00B95832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lastRenderedPageBreak/>
              <w:t>4) recognise/discover some problems in literary translation theory, formulate critical opinions about them and discuss them in a relevant way</w:t>
            </w:r>
          </w:p>
          <w:p w14:paraId="596D93FB" w14:textId="77777777" w:rsidR="005975B9" w:rsidRDefault="00B95832" w:rsidP="00B9583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sz w:val="18"/>
                <w:szCs w:val="18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</w:rPr>
              <w:t>5) apply the theoretical knowledge acquired to concrete literary texts in a critical and autonomous way.</w:t>
            </w:r>
          </w:p>
          <w:p w14:paraId="6E72EB98" w14:textId="2D908698" w:rsidR="003B52A8" w:rsidRPr="00F75F6E" w:rsidRDefault="003B52A8" w:rsidP="00B9583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08DACC49" w14:textId="77777777" w:rsidTr="002C299D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7FA401B5" w14:textId="77777777" w:rsidR="00F75F6E" w:rsidRPr="00F75F6E" w:rsidRDefault="00F75F6E" w:rsidP="00F75F6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"/>
              </w:rPr>
            </w:pPr>
            <w:r w:rsidRPr="00F75F6E">
              <w:rPr>
                <w:rFonts w:ascii="Merriweather" w:hAnsi="Merriweather"/>
                <w:sz w:val="18"/>
                <w:lang w:val="en"/>
              </w:rPr>
              <w:t>At the program level, students will be able to:</w:t>
            </w:r>
          </w:p>
          <w:p w14:paraId="76F1315F" w14:textId="15B7F7EB" w:rsidR="008257D6" w:rsidRPr="008257D6" w:rsidRDefault="008257D6" w:rsidP="008257D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"/>
              </w:rPr>
            </w:pPr>
            <w:r w:rsidRPr="008257D6">
              <w:rPr>
                <w:rFonts w:ascii="Merriweather" w:hAnsi="Merriweather"/>
                <w:sz w:val="18"/>
                <w:lang w:val="en"/>
              </w:rPr>
              <w:t>1) distinguish approaches to translation (linguistic, poetic, hermeneutic, semiotic, communicative, ideological, cognitive, etc.)</w:t>
            </w:r>
            <w:r>
              <w:rPr>
                <w:rFonts w:ascii="Merriweather" w:hAnsi="Merriweather"/>
                <w:sz w:val="18"/>
                <w:lang w:val="en"/>
              </w:rPr>
              <w:t>,</w:t>
            </w:r>
          </w:p>
          <w:p w14:paraId="1DFFFBA1" w14:textId="2359415E" w:rsidR="008257D6" w:rsidRPr="008257D6" w:rsidRDefault="008257D6" w:rsidP="008257D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"/>
              </w:rPr>
            </w:pPr>
            <w:r w:rsidRPr="008257D6">
              <w:rPr>
                <w:rFonts w:ascii="Merriweather" w:hAnsi="Merriweather"/>
                <w:sz w:val="18"/>
                <w:lang w:val="en"/>
              </w:rPr>
              <w:t>2) apply translation, poetic and philosophical knowledge in the analysis of (literary) texts</w:t>
            </w:r>
            <w:r>
              <w:rPr>
                <w:rFonts w:ascii="Merriweather" w:hAnsi="Merriweather"/>
                <w:sz w:val="18"/>
                <w:lang w:val="en"/>
              </w:rPr>
              <w:t>,</w:t>
            </w:r>
          </w:p>
          <w:p w14:paraId="00651B8B" w14:textId="6C74AA96" w:rsidR="008257D6" w:rsidRPr="008257D6" w:rsidRDefault="008257D6" w:rsidP="008257D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 w:rsidRPr="008257D6">
              <w:rPr>
                <w:rFonts w:ascii="Merriweather" w:hAnsi="Merriweather"/>
                <w:sz w:val="18"/>
                <w:lang w:val="en"/>
              </w:rPr>
              <w:t>3) independently discuss translation topics, in general or regard</w:t>
            </w:r>
            <w:r w:rsidR="003B52A8">
              <w:rPr>
                <w:rFonts w:ascii="Merriweather" w:hAnsi="Merriweather"/>
                <w:sz w:val="18"/>
                <w:lang w:val="en"/>
              </w:rPr>
              <w:t>ing</w:t>
            </w:r>
            <w:r w:rsidRPr="008257D6">
              <w:rPr>
                <w:rFonts w:ascii="Merriweather" w:hAnsi="Merriweather"/>
                <w:sz w:val="18"/>
                <w:lang w:val="en"/>
              </w:rPr>
              <w:t xml:space="preserve"> to a specific text or issue, using the appropriate terminology</w:t>
            </w:r>
            <w:r>
              <w:rPr>
                <w:rFonts w:ascii="Merriweather" w:hAnsi="Merriweather"/>
                <w:sz w:val="18"/>
                <w:lang w:val="en"/>
              </w:rPr>
              <w:t>,</w:t>
            </w:r>
          </w:p>
          <w:p w14:paraId="111D1106" w14:textId="40CD3297" w:rsidR="00F75F6E" w:rsidRPr="00F75F6E" w:rsidRDefault="008257D6" w:rsidP="00F75F6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"/>
              </w:rPr>
            </w:pPr>
            <w:r>
              <w:rPr>
                <w:rFonts w:ascii="Merriweather" w:hAnsi="Merriweather"/>
                <w:sz w:val="18"/>
                <w:lang w:val="en"/>
              </w:rPr>
              <w:t>4</w:t>
            </w:r>
            <w:r w:rsidR="00F75F6E" w:rsidRPr="00F75F6E">
              <w:rPr>
                <w:rFonts w:ascii="Merriweather" w:hAnsi="Merriweather"/>
                <w:sz w:val="18"/>
                <w:lang w:val="en"/>
              </w:rPr>
              <w:t xml:space="preserve">) deepen language knowledge and skills up to level C1 with elements of C2 according to </w:t>
            </w:r>
            <w:r w:rsidR="00F75F6E">
              <w:rPr>
                <w:rFonts w:ascii="Merriweather" w:hAnsi="Merriweather"/>
                <w:sz w:val="18"/>
                <w:lang w:val="en"/>
              </w:rPr>
              <w:t xml:space="preserve">the CEFRL </w:t>
            </w:r>
            <w:r w:rsidR="00F75F6E" w:rsidRPr="00F75F6E">
              <w:rPr>
                <w:rFonts w:ascii="Merriweather" w:hAnsi="Merriweather"/>
                <w:sz w:val="18"/>
                <w:lang w:val="en"/>
              </w:rPr>
              <w:t>by the end of the study program</w:t>
            </w:r>
            <w:r w:rsidR="005975B9">
              <w:rPr>
                <w:rFonts w:ascii="Merriweather" w:hAnsi="Merriweather"/>
                <w:sz w:val="18"/>
                <w:lang w:val="en"/>
              </w:rPr>
              <w:t>,</w:t>
            </w:r>
          </w:p>
          <w:p w14:paraId="35FB1037" w14:textId="67C2B71E" w:rsidR="005F44CA" w:rsidRDefault="008257D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"/>
              </w:rPr>
            </w:pPr>
            <w:r>
              <w:rPr>
                <w:rFonts w:ascii="Merriweather" w:hAnsi="Merriweather"/>
                <w:sz w:val="18"/>
                <w:lang w:val="en"/>
              </w:rPr>
              <w:t>5</w:t>
            </w:r>
            <w:r w:rsidR="00F75F6E" w:rsidRPr="00F75F6E">
              <w:rPr>
                <w:rFonts w:ascii="Merriweather" w:hAnsi="Merriweather"/>
                <w:sz w:val="18"/>
                <w:lang w:val="en"/>
              </w:rPr>
              <w:t>) recognize the need for constant learning and professional development</w:t>
            </w:r>
            <w:r w:rsidR="005975B9">
              <w:rPr>
                <w:rFonts w:ascii="Merriweather" w:hAnsi="Merriweather"/>
                <w:sz w:val="18"/>
                <w:lang w:val="en"/>
              </w:rPr>
              <w:t>.</w:t>
            </w:r>
          </w:p>
          <w:p w14:paraId="50EF569E" w14:textId="4AC71220" w:rsidR="008257D6" w:rsidRPr="00F75F6E" w:rsidRDefault="008257D6" w:rsidP="008257D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</w:p>
        </w:tc>
      </w:tr>
      <w:tr w:rsidR="005F44CA" w:rsidRPr="00CF5812" w14:paraId="2495547E" w14:textId="77777777" w:rsidTr="002C299D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2C299D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6A5D0BD8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AE8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2E065E43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AE8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1768D1E6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AE8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2C299D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1B6FB2F3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AE8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2C299D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B9931C1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299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4D18E11F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AE8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2C299D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7F503D5A" w:rsidR="005F44CA" w:rsidRPr="00CF5812" w:rsidRDefault="00B7257E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presence</w:t>
            </w:r>
            <w:r w:rsidR="005975B9">
              <w:rPr>
                <w:rFonts w:ascii="Merriweather" w:eastAsia="MS Gothic" w:hAnsi="Merriweather"/>
                <w:sz w:val="18"/>
              </w:rPr>
              <w:t xml:space="preserve"> (70%) and</w:t>
            </w:r>
            <w:r>
              <w:rPr>
                <w:rFonts w:ascii="Merriweather" w:eastAsia="MS Gothic" w:hAnsi="Merriweather"/>
                <w:sz w:val="18"/>
              </w:rPr>
              <w:t xml:space="preserve"> oral presentation</w:t>
            </w:r>
          </w:p>
        </w:tc>
      </w:tr>
      <w:tr w:rsidR="005F44CA" w:rsidRPr="00CF5812" w14:paraId="65E8786F" w14:textId="77777777" w:rsidTr="002C299D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247EEB48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57D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24E744E6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7D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6FED98E1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75B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2C299D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vAlign w:val="center"/>
          </w:tcPr>
          <w:p w14:paraId="7232308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0A7D80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</w:tr>
      <w:tr w:rsidR="00B95832" w:rsidRPr="00CF5812" w14:paraId="0C5F4867" w14:textId="77777777" w:rsidTr="009240E2">
        <w:tc>
          <w:tcPr>
            <w:tcW w:w="1485" w:type="dxa"/>
            <w:shd w:val="clear" w:color="auto" w:fill="F2F2F2"/>
          </w:tcPr>
          <w:p w14:paraId="58C5F6D6" w14:textId="77777777" w:rsidR="00B95832" w:rsidRPr="00CF5812" w:rsidRDefault="00B95832" w:rsidP="00B95832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</w:tcPr>
          <w:p w14:paraId="68CD5218" w14:textId="57276CBE" w:rsidR="00B95832" w:rsidRPr="00B95832" w:rsidRDefault="00B95832" w:rsidP="00B95832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 xml:space="preserve">The course consists of lectures and seminars. The main aim is to acquire different theories and poetics of translation, particularly those belonging to the French and Spanish-speaking cultural environments, </w:t>
            </w:r>
            <w:r w:rsidR="0083241B">
              <w:rPr>
                <w:rFonts w:ascii="Merriweather" w:hAnsi="Merriweather"/>
                <w:bCs/>
                <w:sz w:val="18"/>
                <w:szCs w:val="18"/>
                <w:lang w:val="en-GB"/>
              </w:rPr>
              <w:t>as well as</w:t>
            </w: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 xml:space="preserve"> dealing with literary translation.</w:t>
            </w:r>
          </w:p>
          <w:p w14:paraId="27D35E5A" w14:textId="77777777" w:rsidR="00B95832" w:rsidRPr="00B95832" w:rsidRDefault="00B95832" w:rsidP="00B95832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The lectures are devoted to the study of different theories and poetics of literary translation, particularly from the French and Spanish-speaking cultural environments. They include not only translational and poetic considerations (Schleiermacher, Larbaud, Berman, Meschonnic, Ortega y Gasset, Paz, Etkind, Steiner, Venuti), but also philosophical reflections (Benjamin, Derrida, Ricoeur) on (literary) translation.</w:t>
            </w:r>
          </w:p>
          <w:p w14:paraId="3D9B5D83" w14:textId="031B7A1E" w:rsidR="00B95832" w:rsidRPr="00493B6B" w:rsidRDefault="00B95832" w:rsidP="00493B6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Merriweather" w:hAnsi="Merriweather"/>
                <w:bCs/>
                <w:sz w:val="18"/>
                <w:szCs w:val="18"/>
                <w:lang w:val="en-GB"/>
              </w:rPr>
            </w:pP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The seminars are devoted to the application of the theoretical knowledge acquired to concrete literary texts.</w:t>
            </w:r>
            <w:r w:rsidR="00493B6B">
              <w:rPr>
                <w:rFonts w:ascii="Merriweather" w:hAnsi="Merriweather"/>
                <w:bCs/>
                <w:sz w:val="18"/>
                <w:szCs w:val="18"/>
                <w:lang w:val="en-GB"/>
              </w:rPr>
              <w:t xml:space="preserve"> </w:t>
            </w:r>
            <w:r w:rsidRPr="00B95832">
              <w:rPr>
                <w:rFonts w:ascii="Merriweather" w:hAnsi="Merriweather"/>
                <w:bCs/>
                <w:sz w:val="18"/>
                <w:szCs w:val="18"/>
                <w:lang w:val="en-GB"/>
              </w:rPr>
              <w:t>As part of the presentation, the student will work in parallel on an original text and its translation, chosen by the professor or by the student himself. Presentation: in collaboration with the professor, the student will prepare materials and an analysis which will be circulated in advance to all colleagues; the presentation will be followed by a discussion in which all students and the professor will take part.</w:t>
            </w:r>
          </w:p>
        </w:tc>
      </w:tr>
      <w:tr w:rsidR="00B95832" w:rsidRPr="00CF5812" w14:paraId="598AB63D" w14:textId="77777777" w:rsidTr="002C299D">
        <w:tc>
          <w:tcPr>
            <w:tcW w:w="1485" w:type="dxa"/>
            <w:shd w:val="clear" w:color="auto" w:fill="F2F2F2"/>
          </w:tcPr>
          <w:p w14:paraId="3E695AC7" w14:textId="77777777" w:rsidR="00B95832" w:rsidRPr="00CF5812" w:rsidRDefault="00B95832" w:rsidP="00B95832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3F3E64EA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Lectures</w:t>
            </w:r>
          </w:p>
          <w:p w14:paraId="57B2424B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1. Introductory lecture: Friedrich Schleiermacher</w:t>
            </w:r>
          </w:p>
          <w:p w14:paraId="6CA6168D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2. Walter Benjamin </w:t>
            </w:r>
          </w:p>
          <w:p w14:paraId="3ABC2139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3. Valery Larbaud</w:t>
            </w:r>
          </w:p>
          <w:p w14:paraId="5E53673D" w14:textId="6C2862BA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4. Antoine Berman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- </w:t>
            </w: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Part I</w:t>
            </w:r>
          </w:p>
          <w:p w14:paraId="40AC7FB4" w14:textId="0A9197CF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5. Antoine Berman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- P</w:t>
            </w: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art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II</w:t>
            </w:r>
          </w:p>
          <w:p w14:paraId="34ABEF7D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6. Henri Meschonnic</w:t>
            </w:r>
          </w:p>
          <w:p w14:paraId="430F52BF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7. Jacques Derrida</w:t>
            </w:r>
          </w:p>
          <w:p w14:paraId="3DE6360A" w14:textId="763EEE20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8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.</w:t>
            </w: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partial exam (optional)</w:t>
            </w:r>
          </w:p>
          <w:p w14:paraId="43B3F081" w14:textId="25090800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lastRenderedPageBreak/>
              <w:t>9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.</w:t>
            </w: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 guest lecture </w:t>
            </w:r>
          </w:p>
          <w:p w14:paraId="691E5AA7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10. Paul Ricoeur</w:t>
            </w:r>
          </w:p>
          <w:p w14:paraId="4C88B80C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11. Octavio Paz</w:t>
            </w:r>
          </w:p>
          <w:p w14:paraId="3409761B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12. Jose Ortega y Gasset</w:t>
            </w:r>
          </w:p>
          <w:p w14:paraId="6A04CA2A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13. George Steiner</w:t>
            </w:r>
          </w:p>
          <w:p w14:paraId="54CC9DB9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14. Laurence Venuti</w:t>
            </w:r>
          </w:p>
          <w:p w14:paraId="48CBB4B2" w14:textId="4853F29F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15. Final lecture and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>discussion</w:t>
            </w:r>
          </w:p>
          <w:p w14:paraId="49DFFF7C" w14:textId="77777777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en"/>
              </w:rPr>
            </w:pPr>
          </w:p>
          <w:p w14:paraId="31590453" w14:textId="70F07160" w:rsidR="003F7B29" w:rsidRPr="003F7B29" w:rsidRDefault="003F7B29" w:rsidP="003F7B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lang w:val="hr-HR"/>
              </w:rPr>
            </w:pP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Seminars (15) will include work on specific texts and project assignments, as well as student </w:t>
            </w:r>
            <w:r>
              <w:rPr>
                <w:rFonts w:ascii="Merriweather" w:eastAsia="MS Gothic" w:hAnsi="Merriweather"/>
                <w:iCs/>
                <w:sz w:val="18"/>
                <w:lang w:val="en"/>
              </w:rPr>
              <w:t xml:space="preserve">oral </w:t>
            </w:r>
            <w:r w:rsidRPr="003F7B29">
              <w:rPr>
                <w:rFonts w:ascii="Merriweather" w:eastAsia="MS Gothic" w:hAnsi="Merriweather"/>
                <w:iCs/>
                <w:sz w:val="18"/>
                <w:lang w:val="en"/>
              </w:rPr>
              <w:t>presentations.</w:t>
            </w:r>
          </w:p>
          <w:p w14:paraId="01E216A0" w14:textId="6DCF530C" w:rsidR="00B95832" w:rsidRPr="003F7B29" w:rsidRDefault="00B95832" w:rsidP="00B958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</w:p>
        </w:tc>
      </w:tr>
      <w:tr w:rsidR="00B95832" w:rsidRPr="00CF5812" w14:paraId="6BA7DAB2" w14:textId="77777777" w:rsidTr="0063339D">
        <w:tc>
          <w:tcPr>
            <w:tcW w:w="1485" w:type="dxa"/>
            <w:shd w:val="clear" w:color="auto" w:fill="F2F2F2"/>
          </w:tcPr>
          <w:p w14:paraId="397E3242" w14:textId="77777777" w:rsidR="00B95832" w:rsidRPr="00CF5812" w:rsidRDefault="00B95832" w:rsidP="00B95832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</w:tcPr>
          <w:p w14:paraId="588FB42E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-Benjamin, Walter: </w:t>
            </w:r>
            <w:r w:rsidRPr="00B95832">
              <w:rPr>
                <w:rFonts w:ascii="Merriweather" w:hAnsi="Merriweather"/>
                <w:bCs/>
                <w:i/>
                <w:iCs/>
                <w:sz w:val="18"/>
                <w:szCs w:val="18"/>
              </w:rPr>
              <w:t>La tâche du traducteur</w:t>
            </w:r>
            <w:r w:rsidRPr="00B95832">
              <w:rPr>
                <w:rFonts w:ascii="Merriweather" w:hAnsi="Merriweather"/>
                <w:sz w:val="18"/>
                <w:szCs w:val="18"/>
              </w:rPr>
              <w:t xml:space="preserve">, translated by Martine Broda, </w:t>
            </w:r>
            <w:r w:rsidRPr="00B95832">
              <w:rPr>
                <w:rFonts w:ascii="Merriweather" w:hAnsi="Merriweather"/>
                <w:i/>
                <w:iCs/>
                <w:sz w:val="18"/>
                <w:szCs w:val="18"/>
              </w:rPr>
              <w:t>Poésie,</w:t>
            </w:r>
            <w:r w:rsidRPr="00B95832">
              <w:rPr>
                <w:rFonts w:ascii="Merriweather" w:hAnsi="Merriweather"/>
                <w:sz w:val="18"/>
                <w:szCs w:val="18"/>
              </w:rPr>
              <w:t xml:space="preserve"> 55, 1991.</w:t>
            </w:r>
          </w:p>
          <w:p w14:paraId="1C002088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-Berman, Antoine: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La traduction et la lettre ou l´Auberge du lointain</w:t>
            </w:r>
            <w:r w:rsidRPr="00B95832">
              <w:rPr>
                <w:rFonts w:ascii="Merriweather" w:hAnsi="Merriweather"/>
                <w:sz w:val="18"/>
                <w:szCs w:val="18"/>
              </w:rPr>
              <w:t>, Seuil, Pairs, 1999, excerpts.</w:t>
            </w:r>
          </w:p>
          <w:p w14:paraId="4BECB063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>-Derrida, Jacques: « </w:t>
            </w:r>
            <w:r w:rsidRPr="00B95832">
              <w:rPr>
                <w:rFonts w:ascii="Merriweather" w:hAnsi="Merriweather"/>
                <w:bCs/>
                <w:sz w:val="18"/>
                <w:szCs w:val="18"/>
              </w:rPr>
              <w:t>Qu´est-ce qu´une traduction ´relevante´?</w:t>
            </w:r>
            <w:r w:rsidRPr="00B95832">
              <w:rPr>
                <w:rFonts w:ascii="Merriweather" w:hAnsi="Merriweather"/>
                <w:i/>
                <w:iCs/>
                <w:sz w:val="18"/>
                <w:szCs w:val="18"/>
              </w:rPr>
              <w:t> </w:t>
            </w:r>
            <w:r w:rsidRPr="00B95832">
              <w:rPr>
                <w:rFonts w:ascii="Merriweather" w:hAnsi="Merriweather"/>
                <w:iCs/>
                <w:sz w:val="18"/>
                <w:szCs w:val="18"/>
              </w:rPr>
              <w:t>»</w:t>
            </w:r>
            <w:r w:rsidRPr="00B95832">
              <w:rPr>
                <w:rFonts w:ascii="Merriweather" w:hAnsi="Merriweather"/>
                <w:bCs/>
                <w:sz w:val="18"/>
                <w:szCs w:val="18"/>
              </w:rPr>
              <w:t xml:space="preserve">, </w:t>
            </w:r>
            <w:r w:rsidRPr="00B95832">
              <w:rPr>
                <w:rFonts w:ascii="Merriweather" w:hAnsi="Merriweather"/>
                <w:i/>
                <w:iCs/>
                <w:sz w:val="18"/>
                <w:szCs w:val="18"/>
              </w:rPr>
              <w:t>Quinzièmes Assises de l´ATLAS</w:t>
            </w:r>
            <w:r w:rsidRPr="00B95832">
              <w:rPr>
                <w:rFonts w:ascii="Merriweather" w:hAnsi="Merriweather"/>
                <w:sz w:val="18"/>
                <w:szCs w:val="18"/>
              </w:rPr>
              <w:t xml:space="preserve">, Actes Sud, 1999, pp. 21-48. </w:t>
            </w:r>
          </w:p>
          <w:p w14:paraId="52379B88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-Larbaud, Valery: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De la traduction</w:t>
            </w:r>
            <w:r w:rsidRPr="00B95832">
              <w:rPr>
                <w:rFonts w:ascii="Merriweather" w:hAnsi="Merriweather"/>
                <w:sz w:val="18"/>
                <w:szCs w:val="18"/>
              </w:rPr>
              <w:t>, Actes Sud, Arles, 1992, excerpts.</w:t>
            </w:r>
          </w:p>
          <w:p w14:paraId="3A569AE1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-Meschonnic, Henri: </w:t>
            </w:r>
            <w:r w:rsidRPr="00B95832">
              <w:rPr>
                <w:rFonts w:ascii="Merriweather" w:hAnsi="Merriweather"/>
                <w:bCs/>
                <w:sz w:val="18"/>
                <w:szCs w:val="18"/>
              </w:rPr>
              <w:t xml:space="preserve">„Traduire ce que les mots ne disent pas, mais ce qu'ils font”, </w:t>
            </w:r>
            <w:r w:rsidRPr="00B95832">
              <w:rPr>
                <w:rFonts w:ascii="Merriweather" w:hAnsi="Merriweather"/>
                <w:bCs/>
                <w:i/>
                <w:iCs/>
                <w:sz w:val="18"/>
                <w:szCs w:val="18"/>
              </w:rPr>
              <w:t>Meta: journal des traducteurs</w:t>
            </w:r>
            <w:r w:rsidRPr="00B95832">
              <w:rPr>
                <w:rFonts w:ascii="Merriweather" w:hAnsi="Merriweather"/>
                <w:bCs/>
                <w:sz w:val="18"/>
                <w:szCs w:val="18"/>
              </w:rPr>
              <w:t>, 1995, str. 514-517</w:t>
            </w:r>
            <w:r w:rsidRPr="00B95832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278087DA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-Meschonnic, Henri: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Poétique du traduire</w:t>
            </w:r>
            <w:r w:rsidRPr="00B95832">
              <w:rPr>
                <w:rFonts w:ascii="Merriweather" w:hAnsi="Merriweather"/>
                <w:sz w:val="18"/>
                <w:szCs w:val="18"/>
              </w:rPr>
              <w:t>, Verdier, Paris, 1999, excerpts.</w:t>
            </w:r>
          </w:p>
          <w:p w14:paraId="08E86F12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-Ortega y Gasset, José: </w:t>
            </w:r>
            <w:r w:rsidRPr="00B95832">
              <w:rPr>
                <w:rFonts w:ascii="Merriweather" w:hAnsi="Merriweather"/>
                <w:bCs/>
                <w:i/>
                <w:iCs/>
                <w:sz w:val="18"/>
                <w:szCs w:val="18"/>
              </w:rPr>
              <w:t>Miseria y esplendor de la traducción</w:t>
            </w:r>
            <w:r w:rsidRPr="00B95832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B95832">
              <w:rPr>
                <w:rFonts w:ascii="Merriweather" w:hAnsi="Merriweather"/>
                <w:i/>
                <w:iCs/>
                <w:sz w:val="18"/>
                <w:szCs w:val="18"/>
              </w:rPr>
              <w:t>La Nación</w:t>
            </w:r>
            <w:r w:rsidRPr="00B95832">
              <w:rPr>
                <w:rFonts w:ascii="Merriweather" w:hAnsi="Merriweather"/>
                <w:sz w:val="18"/>
                <w:szCs w:val="18"/>
              </w:rPr>
              <w:t xml:space="preserve">, Buenos Aires, 1937 / </w:t>
            </w:r>
            <w:r w:rsidRPr="00B95832">
              <w:rPr>
                <w:rFonts w:ascii="Merriweather" w:hAnsi="Merriweather"/>
                <w:i/>
                <w:iCs/>
                <w:sz w:val="18"/>
                <w:szCs w:val="18"/>
              </w:rPr>
              <w:t>Sjaj i beda prevođenja</w:t>
            </w:r>
            <w:r w:rsidRPr="00B95832">
              <w:rPr>
                <w:rFonts w:ascii="Merriweather" w:hAnsi="Merriweather"/>
                <w:sz w:val="18"/>
                <w:szCs w:val="18"/>
              </w:rPr>
              <w:t>, dvojezično izdanje, Rad/AAOM, Beograd, 2004, excerpts.</w:t>
            </w:r>
          </w:p>
          <w:p w14:paraId="57F9B3D8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-Paz, Octavio: </w:t>
            </w:r>
            <w:r w:rsidRPr="00B95832">
              <w:rPr>
                <w:rFonts w:ascii="Merriweather" w:hAnsi="Merriweather"/>
                <w:bCs/>
                <w:i/>
                <w:iCs/>
                <w:sz w:val="18"/>
                <w:szCs w:val="18"/>
              </w:rPr>
              <w:t>Traducción: literatura y literalidad</w:t>
            </w:r>
            <w:r w:rsidRPr="00B95832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, </w:t>
            </w:r>
            <w:r w:rsidRPr="00B95832">
              <w:rPr>
                <w:rFonts w:ascii="Merriweather" w:hAnsi="Merriweather"/>
                <w:sz w:val="18"/>
                <w:szCs w:val="18"/>
              </w:rPr>
              <w:t>Cuadernos marginales, Tusquets Editor, Barcelona, 1971, excerpts.</w:t>
            </w:r>
          </w:p>
          <w:p w14:paraId="2175490D" w14:textId="77777777" w:rsidR="00B95832" w:rsidRPr="00B95832" w:rsidRDefault="00B95832" w:rsidP="00B95832">
            <w:pPr>
              <w:tabs>
                <w:tab w:val="left" w:pos="2820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-Ricœur, Paul: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Sur la traduction</w:t>
            </w:r>
            <w:r w:rsidRPr="00B95832">
              <w:rPr>
                <w:rFonts w:ascii="Merriweather" w:hAnsi="Merriweather"/>
                <w:sz w:val="18"/>
                <w:szCs w:val="18"/>
              </w:rPr>
              <w:t>, Bayard, Paris, 2004, selected chapter.</w:t>
            </w:r>
          </w:p>
          <w:p w14:paraId="2B803A8F" w14:textId="77777777" w:rsidR="00B95832" w:rsidRPr="00B95832" w:rsidRDefault="00B95832" w:rsidP="00B95832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-Steiner, Georges: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Après Babel</w:t>
            </w:r>
            <w:r w:rsidRPr="00B95832">
              <w:rPr>
                <w:rFonts w:ascii="Merriweather" w:hAnsi="Merriweather"/>
                <w:sz w:val="18"/>
                <w:szCs w:val="18"/>
              </w:rPr>
              <w:t>, Albin Michel, Paris, 1998, excerpts.</w:t>
            </w:r>
          </w:p>
          <w:p w14:paraId="710CFC3E" w14:textId="77777777" w:rsidR="00B95832" w:rsidRDefault="00B95832" w:rsidP="00B95832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B95832">
              <w:rPr>
                <w:rFonts w:ascii="Merriweather" w:hAnsi="Merriweather"/>
                <w:sz w:val="18"/>
                <w:szCs w:val="18"/>
              </w:rPr>
              <w:t xml:space="preserve">-Venuti, Lawrence: </w:t>
            </w:r>
            <w:r w:rsidRPr="00B95832">
              <w:rPr>
                <w:rFonts w:ascii="Merriweather" w:hAnsi="Merriweather"/>
                <w:i/>
                <w:sz w:val="18"/>
                <w:szCs w:val="18"/>
              </w:rPr>
              <w:t>The Translator's Invisibility</w:t>
            </w:r>
            <w:r w:rsidRPr="00B95832">
              <w:rPr>
                <w:rFonts w:ascii="Merriweather" w:hAnsi="Merriweather"/>
                <w:sz w:val="18"/>
                <w:szCs w:val="18"/>
              </w:rPr>
              <w:t>, A History of Translation, Routledge, London &amp; New York, 1995, selected chapter.</w:t>
            </w:r>
          </w:p>
          <w:p w14:paraId="395ACE44" w14:textId="71535AAF" w:rsidR="003F7B29" w:rsidRPr="00B95832" w:rsidRDefault="003F7B29" w:rsidP="00B95832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  <w:szCs w:val="18"/>
              </w:rPr>
            </w:pPr>
          </w:p>
        </w:tc>
      </w:tr>
      <w:tr w:rsidR="00BF11A4" w:rsidRPr="00CF5812" w14:paraId="2D31C680" w14:textId="77777777" w:rsidTr="002C299D">
        <w:tc>
          <w:tcPr>
            <w:tcW w:w="1485" w:type="dxa"/>
            <w:shd w:val="clear" w:color="auto" w:fill="F2F2F2"/>
          </w:tcPr>
          <w:p w14:paraId="217DD042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</w:tcPr>
          <w:p w14:paraId="740B1F55" w14:textId="77777777" w:rsidR="00BF11A4" w:rsidRPr="00521168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521168">
              <w:rPr>
                <w:rFonts w:ascii="Merriweather" w:hAnsi="Merriweather"/>
                <w:sz w:val="18"/>
                <w:szCs w:val="18"/>
              </w:rPr>
              <w:t>-Oseki-Dépré</w:t>
            </w:r>
            <w:r w:rsidRPr="00521168">
              <w:rPr>
                <w:rFonts w:ascii="Merriweather" w:hAnsi="Merriweather"/>
                <w:b/>
                <w:sz w:val="18"/>
                <w:szCs w:val="18"/>
              </w:rPr>
              <w:t>,</w:t>
            </w:r>
            <w:r w:rsidRPr="00521168">
              <w:rPr>
                <w:rFonts w:ascii="Merriweather" w:hAnsi="Merriweather"/>
                <w:sz w:val="18"/>
                <w:szCs w:val="18"/>
              </w:rPr>
              <w:t xml:space="preserve"> Inês: </w:t>
            </w:r>
            <w:r w:rsidRPr="00521168">
              <w:rPr>
                <w:rFonts w:ascii="Merriweather" w:hAnsi="Merriweather"/>
                <w:i/>
                <w:sz w:val="18"/>
                <w:szCs w:val="18"/>
              </w:rPr>
              <w:t>Théories et pratiques de la traduction littéraire</w:t>
            </w:r>
            <w:r w:rsidRPr="00521168">
              <w:rPr>
                <w:rFonts w:ascii="Merriweather" w:hAnsi="Merriweather"/>
                <w:sz w:val="18"/>
                <w:szCs w:val="18"/>
              </w:rPr>
              <w:t>, Armand Collin, Paris, 1999.</w:t>
            </w:r>
          </w:p>
          <w:p w14:paraId="72AB3589" w14:textId="69BE070C" w:rsidR="00BF11A4" w:rsidRPr="00B7257E" w:rsidRDefault="00BF11A4" w:rsidP="00BF11A4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  <w:szCs w:val="18"/>
              </w:rPr>
            </w:pPr>
            <w:r w:rsidRPr="00521168">
              <w:rPr>
                <w:rFonts w:ascii="Merriweather" w:hAnsi="Merriweather"/>
                <w:sz w:val="18"/>
                <w:szCs w:val="18"/>
              </w:rPr>
              <w:t xml:space="preserve">-Le Calvé-Ivičević, Évaine: </w:t>
            </w:r>
            <w:r w:rsidRPr="00521168">
              <w:rPr>
                <w:rFonts w:ascii="Merriweather" w:hAnsi="Merriweather"/>
                <w:i/>
                <w:sz w:val="18"/>
                <w:szCs w:val="18"/>
              </w:rPr>
              <w:t>Lectures en traductologie</w:t>
            </w:r>
            <w:r w:rsidRPr="00521168">
              <w:rPr>
                <w:rFonts w:ascii="Merriweather" w:hAnsi="Merriweather"/>
                <w:sz w:val="18"/>
                <w:szCs w:val="18"/>
              </w:rPr>
              <w:t xml:space="preserve">, </w:t>
            </w:r>
            <w:hyperlink r:id="rId7" w:history="1">
              <w:r w:rsidRPr="00521168">
                <w:rPr>
                  <w:rStyle w:val="Hiperveza"/>
                  <w:rFonts w:ascii="Merriweather" w:hAnsi="Merriweather"/>
                  <w:sz w:val="18"/>
                  <w:szCs w:val="18"/>
                </w:rPr>
                <w:t>https://morepress.unizd.hr/books/press/catalog/view/3/3/6-1</w:t>
              </w:r>
            </w:hyperlink>
          </w:p>
        </w:tc>
      </w:tr>
      <w:tr w:rsidR="00BF11A4" w:rsidRPr="00CF5812" w14:paraId="5E1A2D8D" w14:textId="77777777" w:rsidTr="002C299D">
        <w:tc>
          <w:tcPr>
            <w:tcW w:w="1485" w:type="dxa"/>
            <w:shd w:val="clear" w:color="auto" w:fill="F2F2F2"/>
          </w:tcPr>
          <w:p w14:paraId="6998EE8B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2B0446BB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BF11A4" w:rsidRPr="00CF5812" w14:paraId="12AEB6AE" w14:textId="77777777" w:rsidTr="002C299D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BF11A4" w:rsidRPr="00CF5812" w14:paraId="4C90A268" w14:textId="77777777" w:rsidTr="002C299D">
        <w:tc>
          <w:tcPr>
            <w:tcW w:w="1485" w:type="dxa"/>
            <w:vMerge/>
            <w:shd w:val="clear" w:color="auto" w:fill="F2F2F2"/>
          </w:tcPr>
          <w:p w14:paraId="53A2FB8A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39D781EF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014ACC08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BF11A4" w:rsidRPr="00CF5812" w14:paraId="1C328498" w14:textId="77777777" w:rsidTr="002C299D">
        <w:tc>
          <w:tcPr>
            <w:tcW w:w="1485" w:type="dxa"/>
            <w:vMerge/>
            <w:shd w:val="clear" w:color="auto" w:fill="F2F2F2"/>
          </w:tcPr>
          <w:p w14:paraId="63B34C8A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BF11A4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3D358D8E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BF11A4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BF11A4" w:rsidRPr="00CD7933" w:rsidRDefault="00BF11A4" w:rsidP="00BF11A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2357C507" w:rsidR="00BF11A4" w:rsidRPr="00CD7933" w:rsidRDefault="00BF11A4" w:rsidP="00BF11A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BF11A4" w:rsidRPr="00CD7933" w:rsidRDefault="00BF11A4" w:rsidP="00BF11A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BF11A4" w:rsidRPr="00CF5812" w14:paraId="6FB2E093" w14:textId="77777777" w:rsidTr="002C299D">
        <w:tc>
          <w:tcPr>
            <w:tcW w:w="1485" w:type="dxa"/>
            <w:shd w:val="clear" w:color="auto" w:fill="F2F2F2"/>
          </w:tcPr>
          <w:p w14:paraId="59157F2D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67A8BB47" w14:textId="25139E12" w:rsidR="00BF11A4" w:rsidRPr="00897EF1" w:rsidRDefault="00BF11A4" w:rsidP="00BF11A4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20</w:t>
            </w:r>
            <w:r w:rsidRPr="00897EF1">
              <w:rPr>
                <w:rFonts w:ascii="Merriweather" w:hAnsi="Merriweather"/>
                <w:sz w:val="18"/>
                <w:szCs w:val="18"/>
              </w:rPr>
              <w:t xml:space="preserve">% </w:t>
            </w:r>
            <w:r>
              <w:rPr>
                <w:rFonts w:ascii="Merriweather" w:hAnsi="Merriweather"/>
                <w:sz w:val="18"/>
                <w:szCs w:val="18"/>
              </w:rPr>
              <w:t>presence, activities, homeworks</w:t>
            </w:r>
          </w:p>
          <w:p w14:paraId="4F2582BC" w14:textId="7DDE2E86" w:rsidR="00BF11A4" w:rsidRPr="00897EF1" w:rsidRDefault="00BF11A4" w:rsidP="00BF11A4">
            <w:pPr>
              <w:tabs>
                <w:tab w:val="left" w:pos="2820"/>
              </w:tabs>
              <w:rPr>
                <w:rFonts w:ascii="Merriweather" w:hAnsi="Merriweather"/>
                <w:sz w:val="18"/>
                <w:szCs w:val="18"/>
              </w:rPr>
            </w:pPr>
            <w:r w:rsidRPr="00897EF1">
              <w:rPr>
                <w:rFonts w:ascii="Merriweather" w:hAnsi="Merriweather"/>
                <w:sz w:val="18"/>
                <w:szCs w:val="18"/>
              </w:rPr>
              <w:t xml:space="preserve">20% </w:t>
            </w:r>
            <w:r>
              <w:rPr>
                <w:rFonts w:ascii="Merriweather" w:hAnsi="Merriweather"/>
                <w:sz w:val="18"/>
                <w:szCs w:val="18"/>
              </w:rPr>
              <w:t>oral presentation</w:t>
            </w:r>
          </w:p>
          <w:p w14:paraId="28BCD7E3" w14:textId="34BF3124" w:rsidR="00BF11A4" w:rsidRPr="00897EF1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97EF1">
              <w:rPr>
                <w:rFonts w:ascii="Merriweather" w:hAnsi="Merriweather"/>
                <w:sz w:val="18"/>
                <w:szCs w:val="18"/>
              </w:rPr>
              <w:t xml:space="preserve">0% </w:t>
            </w:r>
            <w:r>
              <w:rPr>
                <w:rFonts w:ascii="Merriweather" w:hAnsi="Merriweather"/>
                <w:sz w:val="18"/>
                <w:szCs w:val="18"/>
              </w:rPr>
              <w:t>written exam (two partials or one final)</w:t>
            </w:r>
          </w:p>
        </w:tc>
      </w:tr>
      <w:tr w:rsidR="00BF11A4" w:rsidRPr="00CF5812" w14:paraId="2253CB18" w14:textId="77777777" w:rsidTr="002C299D">
        <w:tc>
          <w:tcPr>
            <w:tcW w:w="1485" w:type="dxa"/>
            <w:vMerge w:val="restart"/>
            <w:shd w:val="clear" w:color="auto" w:fill="F2F2F2"/>
          </w:tcPr>
          <w:p w14:paraId="3C5E61B0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702FFFB6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048D4">
              <w:rPr>
                <w:rFonts w:ascii="Merriweather" w:hAnsi="Merriweather"/>
                <w:sz w:val="16"/>
                <w:szCs w:val="16"/>
              </w:rPr>
              <w:t>0-55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BF11A4" w:rsidRPr="00CF5812" w14:paraId="520CCAE0" w14:textId="77777777" w:rsidTr="002C299D">
        <w:tc>
          <w:tcPr>
            <w:tcW w:w="1485" w:type="dxa"/>
            <w:vMerge/>
            <w:shd w:val="clear" w:color="auto" w:fill="F2F2F2"/>
          </w:tcPr>
          <w:p w14:paraId="03A30DE5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7C71EDE3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048D4">
              <w:rPr>
                <w:rFonts w:ascii="Merriweather" w:hAnsi="Merriweather"/>
                <w:sz w:val="16"/>
                <w:szCs w:val="16"/>
              </w:rPr>
              <w:t>56-65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BF11A4" w:rsidRPr="00CF5812" w14:paraId="1FF8D7D1" w14:textId="77777777" w:rsidTr="002C299D">
        <w:tc>
          <w:tcPr>
            <w:tcW w:w="1485" w:type="dxa"/>
            <w:vMerge/>
            <w:shd w:val="clear" w:color="auto" w:fill="F2F2F2"/>
          </w:tcPr>
          <w:p w14:paraId="4FCFD9CD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39C01893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048D4">
              <w:rPr>
                <w:rFonts w:ascii="Merriweather" w:hAnsi="Merriweather"/>
                <w:sz w:val="16"/>
                <w:szCs w:val="16"/>
              </w:rPr>
              <w:t>66-80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BF11A4" w:rsidRPr="00CF5812" w14:paraId="3D069E92" w14:textId="77777777" w:rsidTr="002C299D">
        <w:tc>
          <w:tcPr>
            <w:tcW w:w="1485" w:type="dxa"/>
            <w:vMerge/>
            <w:shd w:val="clear" w:color="auto" w:fill="F2F2F2"/>
          </w:tcPr>
          <w:p w14:paraId="287C2F8A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197B83AA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048D4">
              <w:rPr>
                <w:rFonts w:ascii="Merriweather" w:hAnsi="Merriweather"/>
                <w:sz w:val="16"/>
                <w:szCs w:val="16"/>
              </w:rPr>
              <w:t>81-90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BF11A4" w:rsidRPr="00CF5812" w14:paraId="6D95B1BA" w14:textId="77777777" w:rsidTr="002C299D">
        <w:tc>
          <w:tcPr>
            <w:tcW w:w="1485" w:type="dxa"/>
            <w:vMerge/>
            <w:shd w:val="clear" w:color="auto" w:fill="F2F2F2"/>
          </w:tcPr>
          <w:p w14:paraId="41FE247A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3276D671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048D4">
              <w:rPr>
                <w:rFonts w:ascii="Merriweather" w:hAnsi="Merriweather"/>
                <w:sz w:val="16"/>
                <w:szCs w:val="16"/>
              </w:rPr>
              <w:t>91-100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BF11A4" w:rsidRPr="00CF5812" w14:paraId="25B34D53" w14:textId="77777777" w:rsidTr="002C299D">
        <w:tc>
          <w:tcPr>
            <w:tcW w:w="1485" w:type="dxa"/>
            <w:shd w:val="clear" w:color="auto" w:fill="F2F2F2"/>
          </w:tcPr>
          <w:p w14:paraId="22D00F1A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535E8001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BF11A4" w:rsidRPr="00CF5812" w14:paraId="1B8E258D" w14:textId="77777777" w:rsidTr="002C299D">
        <w:tc>
          <w:tcPr>
            <w:tcW w:w="1485" w:type="dxa"/>
            <w:shd w:val="clear" w:color="auto" w:fill="F2F2F2"/>
          </w:tcPr>
          <w:p w14:paraId="6AAA3640" w14:textId="77777777" w:rsidR="00BF11A4" w:rsidRPr="00CF5812" w:rsidRDefault="00BF11A4" w:rsidP="00BF11A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140D840C" w:rsidR="00BF11A4" w:rsidRPr="00CF5812" w:rsidRDefault="00BF11A4" w:rsidP="00BF11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857A" w14:textId="77777777" w:rsidR="00811CA4" w:rsidRDefault="00811CA4" w:rsidP="009947BA">
      <w:pPr>
        <w:spacing w:before="0" w:after="0"/>
      </w:pPr>
      <w:r>
        <w:separator/>
      </w:r>
    </w:p>
  </w:endnote>
  <w:endnote w:type="continuationSeparator" w:id="0">
    <w:p w14:paraId="2A572744" w14:textId="77777777" w:rsidR="00811CA4" w:rsidRDefault="00811CA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7CFD" w14:textId="77777777" w:rsidR="00811CA4" w:rsidRDefault="00811CA4" w:rsidP="009947BA">
      <w:pPr>
        <w:spacing w:before="0" w:after="0"/>
      </w:pPr>
      <w:r>
        <w:separator/>
      </w:r>
    </w:p>
  </w:footnote>
  <w:footnote w:type="continuationSeparator" w:id="0">
    <w:p w14:paraId="7103BCCD" w14:textId="77777777" w:rsidR="00811CA4" w:rsidRDefault="00811CA4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B88D" w14:textId="77777777" w:rsidR="0079745E" w:rsidRPr="00CF5812" w:rsidRDefault="00D64661" w:rsidP="00CF5812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Zaglavlje"/>
      <w:rPr>
        <w:rFonts w:ascii="Merriweather" w:hAnsi="Merriweather"/>
      </w:rPr>
    </w:pPr>
  </w:p>
  <w:p w14:paraId="1BE7294C" w14:textId="77777777" w:rsidR="0079745E" w:rsidRPr="00CF5812" w:rsidRDefault="0079745E">
    <w:pPr>
      <w:pStyle w:val="Zaglavlje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2EBE"/>
    <w:rsid w:val="00026336"/>
    <w:rsid w:val="000763BB"/>
    <w:rsid w:val="000801CA"/>
    <w:rsid w:val="000837AF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077A3"/>
    <w:rsid w:val="001271F4"/>
    <w:rsid w:val="001443A2"/>
    <w:rsid w:val="00150B32"/>
    <w:rsid w:val="00174343"/>
    <w:rsid w:val="001821A6"/>
    <w:rsid w:val="00197510"/>
    <w:rsid w:val="001A710D"/>
    <w:rsid w:val="001C0985"/>
    <w:rsid w:val="001D7981"/>
    <w:rsid w:val="001F126C"/>
    <w:rsid w:val="00211581"/>
    <w:rsid w:val="00217670"/>
    <w:rsid w:val="0022722C"/>
    <w:rsid w:val="00264C93"/>
    <w:rsid w:val="0028545A"/>
    <w:rsid w:val="0028624E"/>
    <w:rsid w:val="002A72C3"/>
    <w:rsid w:val="002B31F4"/>
    <w:rsid w:val="002C299D"/>
    <w:rsid w:val="002D229E"/>
    <w:rsid w:val="002E1CE6"/>
    <w:rsid w:val="002E3BD2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B52A8"/>
    <w:rsid w:val="003D36C1"/>
    <w:rsid w:val="003D3A65"/>
    <w:rsid w:val="003D5EA5"/>
    <w:rsid w:val="003F11B6"/>
    <w:rsid w:val="003F17B8"/>
    <w:rsid w:val="003F7B29"/>
    <w:rsid w:val="00401D65"/>
    <w:rsid w:val="00453362"/>
    <w:rsid w:val="00461219"/>
    <w:rsid w:val="00470F6D"/>
    <w:rsid w:val="0047188D"/>
    <w:rsid w:val="00483BC3"/>
    <w:rsid w:val="004923F4"/>
    <w:rsid w:val="00493B6B"/>
    <w:rsid w:val="004B553E"/>
    <w:rsid w:val="004E28A9"/>
    <w:rsid w:val="0050583D"/>
    <w:rsid w:val="00521168"/>
    <w:rsid w:val="00533D12"/>
    <w:rsid w:val="005353ED"/>
    <w:rsid w:val="005514C3"/>
    <w:rsid w:val="00560CCB"/>
    <w:rsid w:val="00562FAC"/>
    <w:rsid w:val="005975B9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22E16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CA4"/>
    <w:rsid w:val="00811E11"/>
    <w:rsid w:val="008257D6"/>
    <w:rsid w:val="0083241B"/>
    <w:rsid w:val="0083622B"/>
    <w:rsid w:val="00863AE8"/>
    <w:rsid w:val="00865776"/>
    <w:rsid w:val="00874D5D"/>
    <w:rsid w:val="008750BD"/>
    <w:rsid w:val="00891C60"/>
    <w:rsid w:val="008942F0"/>
    <w:rsid w:val="00897EF1"/>
    <w:rsid w:val="008A3541"/>
    <w:rsid w:val="008C6E72"/>
    <w:rsid w:val="008D45DB"/>
    <w:rsid w:val="008E32EB"/>
    <w:rsid w:val="0090214F"/>
    <w:rsid w:val="009032E1"/>
    <w:rsid w:val="009163E6"/>
    <w:rsid w:val="00931820"/>
    <w:rsid w:val="00954E4E"/>
    <w:rsid w:val="00970EA3"/>
    <w:rsid w:val="009760E8"/>
    <w:rsid w:val="009831B1"/>
    <w:rsid w:val="00991313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02220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257E"/>
    <w:rsid w:val="00B7307A"/>
    <w:rsid w:val="00B95832"/>
    <w:rsid w:val="00B95B31"/>
    <w:rsid w:val="00BD18F3"/>
    <w:rsid w:val="00BD5703"/>
    <w:rsid w:val="00BF11A4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4E08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BC3"/>
    <w:rsid w:val="00E23DFC"/>
    <w:rsid w:val="00E30E67"/>
    <w:rsid w:val="00E61B32"/>
    <w:rsid w:val="00E9767E"/>
    <w:rsid w:val="00EA4B28"/>
    <w:rsid w:val="00EC2DBA"/>
    <w:rsid w:val="00ED4262"/>
    <w:rsid w:val="00EF38B6"/>
    <w:rsid w:val="00F018D3"/>
    <w:rsid w:val="00F02A8F"/>
    <w:rsid w:val="00F02B5A"/>
    <w:rsid w:val="00F03BE1"/>
    <w:rsid w:val="00F20A28"/>
    <w:rsid w:val="00F33614"/>
    <w:rsid w:val="00F504CA"/>
    <w:rsid w:val="00F513E0"/>
    <w:rsid w:val="00F566DA"/>
    <w:rsid w:val="00F75F6E"/>
    <w:rsid w:val="00F84F5E"/>
    <w:rsid w:val="00FA0A5F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StandardWeb">
    <w:name w:val="Normal (Web)"/>
    <w:basedOn w:val="Normal"/>
    <w:uiPriority w:val="99"/>
    <w:unhideWhenUsed/>
    <w:rsid w:val="00F75F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detailvalue">
    <w:name w:val="detail_value"/>
    <w:basedOn w:val="Zadanifontodlomka"/>
    <w:rsid w:val="00F75F6E"/>
  </w:style>
  <w:style w:type="character" w:styleId="Nerijeenospominjanje">
    <w:name w:val="Unresolved Mention"/>
    <w:basedOn w:val="Zadanifontodlomka"/>
    <w:uiPriority w:val="99"/>
    <w:semiHidden/>
    <w:unhideWhenUsed/>
    <w:rsid w:val="0095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epress.unizd.hr/books/press/catalog/view/3/3/6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 Mikšić</cp:lastModifiedBy>
  <cp:revision>11</cp:revision>
  <cp:lastPrinted>2021-02-12T11:28:00Z</cp:lastPrinted>
  <dcterms:created xsi:type="dcterms:W3CDTF">2024-08-27T12:25:00Z</dcterms:created>
  <dcterms:modified xsi:type="dcterms:W3CDTF">2024-08-27T12:40:00Z</dcterms:modified>
</cp:coreProperties>
</file>