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BDDA" w14:textId="58F09629" w:rsidR="00155FFB" w:rsidRPr="00240D6B" w:rsidRDefault="008942F0" w:rsidP="00240D6B">
      <w:pPr>
        <w:jc w:val="center"/>
        <w:rPr>
          <w:rFonts w:ascii="Merriweather" w:hAnsi="Merriweather" w:cs="Times New Roman"/>
          <w:b/>
        </w:rPr>
      </w:pPr>
      <w:r w:rsidRPr="00240D6B">
        <w:rPr>
          <w:rFonts w:ascii="Merriweather" w:hAnsi="Merriweather" w:cs="Times New Roman"/>
          <w:b/>
        </w:rPr>
        <w:t>Izvedbeni plan nastave (</w:t>
      </w:r>
      <w:proofErr w:type="spellStart"/>
      <w:r w:rsidR="0010332B" w:rsidRPr="00240D6B">
        <w:rPr>
          <w:rFonts w:ascii="Merriweather" w:hAnsi="Merriweather" w:cs="Times New Roman"/>
          <w:b/>
          <w:i/>
        </w:rPr>
        <w:t>syllabus</w:t>
      </w:r>
      <w:proofErr w:type="spellEnd"/>
      <w:r w:rsidRPr="00240D6B">
        <w:rPr>
          <w:rFonts w:ascii="Merriweather" w:hAnsi="Merriweather" w:cs="Times New Roman"/>
          <w:b/>
        </w:rPr>
        <w:t>)</w:t>
      </w:r>
      <w:r w:rsidR="00B4202A" w:rsidRPr="00240D6B">
        <w:rPr>
          <w:rStyle w:val="FootnoteReference"/>
          <w:rFonts w:ascii="Merriweather" w:hAnsi="Merriweather" w:cs="Times New Roman"/>
          <w:b/>
        </w:rPr>
        <w:footnoteReference w:customMarkFollows="1" w:id="1"/>
        <w:t>*</w:t>
      </w:r>
    </w:p>
    <w:tbl>
      <w:tblPr>
        <w:tblStyle w:val="TableGrid"/>
        <w:tblW w:w="11312" w:type="dxa"/>
        <w:tblLayout w:type="fixed"/>
        <w:tblLook w:val="04A0" w:firstRow="1" w:lastRow="0" w:firstColumn="1" w:lastColumn="0" w:noHBand="0" w:noVBand="1"/>
      </w:tblPr>
      <w:tblGrid>
        <w:gridCol w:w="1798"/>
        <w:gridCol w:w="461"/>
        <w:gridCol w:w="146"/>
        <w:gridCol w:w="175"/>
        <w:gridCol w:w="283"/>
        <w:gridCol w:w="31"/>
        <w:gridCol w:w="216"/>
        <w:gridCol w:w="70"/>
        <w:gridCol w:w="112"/>
        <w:gridCol w:w="71"/>
        <w:gridCol w:w="392"/>
        <w:gridCol w:w="122"/>
        <w:gridCol w:w="270"/>
        <w:gridCol w:w="240"/>
        <w:gridCol w:w="198"/>
        <w:gridCol w:w="115"/>
        <w:gridCol w:w="90"/>
        <w:gridCol w:w="641"/>
        <w:gridCol w:w="308"/>
        <w:gridCol w:w="548"/>
        <w:gridCol w:w="84"/>
        <w:gridCol w:w="344"/>
        <w:gridCol w:w="257"/>
        <w:gridCol w:w="21"/>
        <w:gridCol w:w="178"/>
        <w:gridCol w:w="380"/>
        <w:gridCol w:w="200"/>
        <w:gridCol w:w="33"/>
        <w:gridCol w:w="215"/>
        <w:gridCol w:w="101"/>
        <w:gridCol w:w="1185"/>
        <w:gridCol w:w="2027"/>
      </w:tblGrid>
      <w:tr w:rsidR="004B553E" w:rsidRPr="00240D6B" w14:paraId="42569BF8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2933860" w14:textId="77777777" w:rsidR="004B553E" w:rsidRPr="00240D6B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5" w:type="dxa"/>
            <w:gridSpan w:val="23"/>
            <w:vAlign w:val="center"/>
          </w:tcPr>
          <w:p w14:paraId="04E68F19" w14:textId="77777777" w:rsidR="004B553E" w:rsidRPr="00240D6B" w:rsidRDefault="00736539" w:rsidP="0073653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  <w:r w:rsidR="00335948" w:rsidRPr="00240D6B">
              <w:rPr>
                <w:rFonts w:ascii="Merriweather" w:hAnsi="Merriweather" w:cs="Times New Roman"/>
                <w:b/>
                <w:sz w:val="18"/>
                <w:szCs w:val="18"/>
              </w:rPr>
              <w:t>uvremen</w:t>
            </w: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a</w:t>
            </w:r>
            <w:r w:rsidR="00335948" w:rsidRPr="00240D6B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francusk</w:t>
            </w: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a proza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0C6BDB" w14:textId="77777777" w:rsidR="004B553E" w:rsidRPr="00240D6B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4" w:type="dxa"/>
            <w:gridSpan w:val="4"/>
            <w:vAlign w:val="center"/>
          </w:tcPr>
          <w:p w14:paraId="239265C2" w14:textId="1EB9D56A" w:rsidR="004B553E" w:rsidRPr="00240D6B" w:rsidRDefault="00D43813" w:rsidP="0033594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B553E" w:rsidRPr="00240D6B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B553E" w:rsidRPr="00240D6B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240D6B" w14:paraId="49F060AD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0FAA406E" w14:textId="77777777" w:rsidR="004B553E" w:rsidRPr="00240D6B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5" w:type="dxa"/>
            <w:gridSpan w:val="23"/>
            <w:vAlign w:val="center"/>
          </w:tcPr>
          <w:p w14:paraId="11766C71" w14:textId="77777777" w:rsidR="004B553E" w:rsidRPr="00240D6B" w:rsidRDefault="00486DE0" w:rsidP="00D43813">
            <w:pPr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Preddiplomski 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72AF289" w14:textId="77777777" w:rsidR="004B553E" w:rsidRPr="00240D6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4" w:type="dxa"/>
            <w:gridSpan w:val="4"/>
          </w:tcPr>
          <w:p w14:paraId="15A73030" w14:textId="77777777" w:rsidR="004B553E" w:rsidRPr="00240D6B" w:rsidRDefault="0033594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240D6B" w14:paraId="04E0E402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25B9B261" w14:textId="77777777" w:rsidR="004B553E" w:rsidRPr="00240D6B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FFCEB6F" w14:textId="77777777" w:rsidR="004B553E" w:rsidRPr="00240D6B" w:rsidRDefault="00486D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9A284F" w:rsidRPr="00240D6B" w14:paraId="411B0094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4297DCAB" w14:textId="77777777" w:rsidR="009A284F" w:rsidRPr="00240D6B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56F971F3" w14:textId="77777777" w:rsidR="009A284F" w:rsidRPr="00240D6B" w:rsidRDefault="00125EF1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48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3A954B59" w14:textId="77777777" w:rsidR="009A284F" w:rsidRPr="00240D6B" w:rsidRDefault="00125EF1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48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0C786788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22889DA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83D2192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48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C3DD2C8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48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6" w:type="dxa"/>
            <w:gridSpan w:val="2"/>
            <w:vAlign w:val="center"/>
          </w:tcPr>
          <w:p w14:paraId="3ACC0CFC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240D6B" w14:paraId="75AE5046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vMerge/>
            <w:shd w:val="clear" w:color="auto" w:fill="F2F2F2" w:themeFill="background1" w:themeFillShade="F2"/>
            <w:vAlign w:val="center"/>
          </w:tcPr>
          <w:p w14:paraId="43F21039" w14:textId="77777777" w:rsidR="009A284F" w:rsidRPr="00240D6B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3865281C" w14:textId="77777777" w:rsidR="009A284F" w:rsidRPr="00240D6B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1BC08600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3E180F2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D1CA0AD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E4CE1BF" w14:textId="77777777" w:rsidR="009A284F" w:rsidRPr="00240D6B" w:rsidRDefault="00125EF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6" w:type="dxa"/>
            <w:gridSpan w:val="2"/>
            <w:vAlign w:val="center"/>
          </w:tcPr>
          <w:p w14:paraId="367D0825" w14:textId="77777777" w:rsidR="009A284F" w:rsidRPr="00240D6B" w:rsidRDefault="00125EF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240D6B" w14:paraId="42554720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B4A8FA8" w14:textId="77777777" w:rsidR="009A284F" w:rsidRPr="00240D6B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675EE2F" w14:textId="77777777" w:rsidR="009A284F" w:rsidRPr="00240D6B" w:rsidRDefault="00125E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48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653F45DB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948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767D905" w14:textId="77777777" w:rsidR="009A284F" w:rsidRPr="00240D6B" w:rsidRDefault="00125E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A4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FD7552" w14:textId="77777777" w:rsidR="009A284F" w:rsidRPr="00240D6B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6" w:type="dxa"/>
            <w:gridSpan w:val="2"/>
            <w:vAlign w:val="center"/>
          </w:tcPr>
          <w:p w14:paraId="178AC932" w14:textId="77777777" w:rsidR="009A284F" w:rsidRPr="00240D6B" w:rsidRDefault="00125EF1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240D6B" w14:paraId="51F4DD74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5C9666CC" w14:textId="77777777" w:rsidR="009A284F" w:rsidRPr="00240D6B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1" w:type="dxa"/>
          </w:tcPr>
          <w:p w14:paraId="10F28797" w14:textId="77777777" w:rsidR="009A284F" w:rsidRPr="00240D6B" w:rsidRDefault="00486DE0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  <w:gridSpan w:val="2"/>
          </w:tcPr>
          <w:p w14:paraId="43485969" w14:textId="77777777" w:rsidR="009A284F" w:rsidRPr="00240D6B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14:paraId="499AFBC4" w14:textId="77777777" w:rsidR="009A284F" w:rsidRPr="00240D6B" w:rsidRDefault="00335948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14:paraId="59B97A40" w14:textId="77777777" w:rsidR="009A284F" w:rsidRPr="00240D6B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</w:tcPr>
          <w:p w14:paraId="3B93C03E" w14:textId="77777777" w:rsidR="009A284F" w:rsidRPr="00240D6B" w:rsidRDefault="00486DE0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14:paraId="2E42DFF1" w14:textId="77777777" w:rsidR="009A284F" w:rsidRPr="00240D6B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695FD16" w14:textId="77777777" w:rsidR="009A284F" w:rsidRPr="00240D6B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6" w:type="dxa"/>
            <w:gridSpan w:val="2"/>
            <w:vAlign w:val="center"/>
          </w:tcPr>
          <w:p w14:paraId="531B1B58" w14:textId="77777777" w:rsidR="009A284F" w:rsidRPr="00240D6B" w:rsidRDefault="00125EF1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240D6B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240D6B" w14:paraId="00BCA4A9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39E086DB" w14:textId="77777777" w:rsidR="009A284F" w:rsidRPr="00240D6B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49" w:type="dxa"/>
            <w:gridSpan w:val="12"/>
            <w:vAlign w:val="center"/>
          </w:tcPr>
          <w:p w14:paraId="75A23F9F" w14:textId="4B9F9CCF" w:rsidR="009A284F" w:rsidRPr="00240D6B" w:rsidRDefault="009A284F" w:rsidP="009A284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C6F9C36" w14:textId="77777777" w:rsidR="009A284F" w:rsidRPr="00240D6B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6" w:type="dxa"/>
            <w:gridSpan w:val="2"/>
            <w:vAlign w:val="center"/>
          </w:tcPr>
          <w:p w14:paraId="10C8C1BA" w14:textId="77777777" w:rsidR="009A284F" w:rsidRPr="00240D6B" w:rsidRDefault="00D4381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H</w:t>
            </w:r>
            <w:r w:rsidR="0078296A" w:rsidRPr="00240D6B">
              <w:rPr>
                <w:rFonts w:ascii="Merriweather" w:hAnsi="Merriweather" w:cs="Times New Roman"/>
                <w:sz w:val="18"/>
                <w:szCs w:val="18"/>
              </w:rPr>
              <w:t>rvatski</w:t>
            </w:r>
            <w:r w:rsidRPr="00240D6B">
              <w:rPr>
                <w:rFonts w:ascii="Merriweather" w:hAnsi="Merriweather" w:cs="Times New Roman"/>
                <w:sz w:val="18"/>
                <w:szCs w:val="18"/>
              </w:rPr>
              <w:t>, francuski</w:t>
            </w:r>
          </w:p>
        </w:tc>
      </w:tr>
      <w:tr w:rsidR="009A284F" w:rsidRPr="00240D6B" w14:paraId="3CD94F9B" w14:textId="77777777" w:rsidTr="002442B6">
        <w:trPr>
          <w:gridAfter w:val="1"/>
          <w:wAfter w:w="2027" w:type="dxa"/>
          <w:trHeight w:val="80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6005A1B0" w14:textId="77777777" w:rsidR="009A284F" w:rsidRPr="00240D6B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49" w:type="dxa"/>
            <w:gridSpan w:val="12"/>
            <w:vAlign w:val="center"/>
          </w:tcPr>
          <w:p w14:paraId="5318C2EA" w14:textId="740053E6" w:rsidR="009A284F" w:rsidRPr="00240D6B" w:rsidRDefault="009A284F" w:rsidP="00D43813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FA787A" w14:textId="77777777" w:rsidR="009A284F" w:rsidRPr="00240D6B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6" w:type="dxa"/>
            <w:gridSpan w:val="2"/>
            <w:vAlign w:val="center"/>
          </w:tcPr>
          <w:p w14:paraId="5EECC89E" w14:textId="77777777" w:rsidR="009A284F" w:rsidRPr="00240D6B" w:rsidRDefault="009A284F" w:rsidP="003359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240D6B" w14:paraId="0F612777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77CFD0F6" w14:textId="77777777" w:rsidR="009A284F" w:rsidRPr="00240D6B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A905D88" w14:textId="77777777" w:rsidR="009A284F" w:rsidRPr="00240D6B" w:rsidRDefault="00156B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Nema ih. </w:t>
            </w:r>
          </w:p>
        </w:tc>
      </w:tr>
      <w:tr w:rsidR="009A284F" w:rsidRPr="00240D6B" w14:paraId="646DADD2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1D33B9DA" w14:textId="77777777" w:rsidR="009A284F" w:rsidRPr="00240D6B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240D6B" w14:paraId="2D7CD4BA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EB23205" w14:textId="77777777" w:rsidR="009A284F" w:rsidRPr="00240D6B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535D6C2" w14:textId="77777777" w:rsidR="009A284F" w:rsidRPr="00240D6B" w:rsidRDefault="00D438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Izv</w:t>
            </w:r>
            <w:r w:rsidR="00486DE0" w:rsidRPr="00240D6B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 prof.</w:t>
            </w:r>
            <w:r w:rsidR="00486DE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dr. sc. Mirna Sindičić Sabljo</w:t>
            </w:r>
          </w:p>
        </w:tc>
      </w:tr>
      <w:tr w:rsidR="002442B6" w:rsidRPr="00240D6B" w14:paraId="57BD947C" w14:textId="77777777" w:rsidTr="002442B6">
        <w:tc>
          <w:tcPr>
            <w:tcW w:w="1798" w:type="dxa"/>
            <w:shd w:val="clear" w:color="auto" w:fill="F2F2F2" w:themeFill="background1" w:themeFillShade="F2"/>
          </w:tcPr>
          <w:p w14:paraId="28F9ADFA" w14:textId="77777777" w:rsidR="002442B6" w:rsidRPr="00240D6B" w:rsidRDefault="002442B6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2589" w:type="dxa"/>
            <w:gridSpan w:val="13"/>
          </w:tcPr>
          <w:p w14:paraId="0D941176" w14:textId="77777777" w:rsidR="002442B6" w:rsidRPr="00240D6B" w:rsidRDefault="002442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msindici@unizd.hr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14:paraId="046E93D8" w14:textId="77777777" w:rsidR="002442B6" w:rsidRPr="00240D6B" w:rsidRDefault="002442B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914" w:type="dxa"/>
            <w:gridSpan w:val="10"/>
          </w:tcPr>
          <w:p w14:paraId="212A6CE2" w14:textId="77777777" w:rsidR="002442B6" w:rsidRPr="00240D6B" w:rsidRDefault="002442B6" w:rsidP="00067D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39FE268" w14:textId="77777777" w:rsidR="002442B6" w:rsidRPr="00240D6B" w:rsidRDefault="002442B6" w:rsidP="002442B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240D6B" w14:paraId="60AB911B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EF637AF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6C2F7DC" w14:textId="7EA250B8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Izv. prof. dr. sc. Mirna Sindičić Sabljo</w:t>
            </w:r>
          </w:p>
        </w:tc>
      </w:tr>
      <w:tr w:rsidR="005F1100" w:rsidRPr="00240D6B" w14:paraId="66F4C03F" w14:textId="77777777" w:rsidTr="002442B6">
        <w:tc>
          <w:tcPr>
            <w:tcW w:w="1798" w:type="dxa"/>
            <w:shd w:val="clear" w:color="auto" w:fill="F2F2F2" w:themeFill="background1" w:themeFillShade="F2"/>
          </w:tcPr>
          <w:p w14:paraId="30EA9F03" w14:textId="77777777" w:rsidR="005F1100" w:rsidRPr="00240D6B" w:rsidRDefault="005F1100" w:rsidP="005F110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2589" w:type="dxa"/>
            <w:gridSpan w:val="13"/>
          </w:tcPr>
          <w:p w14:paraId="33E306A4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msindici@unizd.hr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14:paraId="27827F2C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914" w:type="dxa"/>
            <w:gridSpan w:val="10"/>
          </w:tcPr>
          <w:p w14:paraId="54557A4C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E41A21A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240D6B" w14:paraId="0A8CC336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56801404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240D6B" w14:paraId="6B47C254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5529955B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7539A60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D56384F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3"/>
            <w:vAlign w:val="center"/>
          </w:tcPr>
          <w:p w14:paraId="0FBAE39A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14:paraId="0FBA4791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1" w:type="dxa"/>
            <w:gridSpan w:val="3"/>
            <w:vAlign w:val="center"/>
          </w:tcPr>
          <w:p w14:paraId="78583720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240D6B" w14:paraId="4543CE5D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AF70C86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32A83BD5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B0C3B55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3"/>
            <w:vAlign w:val="center"/>
          </w:tcPr>
          <w:p w14:paraId="1F4D2DBB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14:paraId="6EE03087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29B2A3D4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240D6B" w14:paraId="2F6D015C" w14:textId="77777777" w:rsidTr="002442B6">
        <w:trPr>
          <w:gridAfter w:val="1"/>
          <w:wAfter w:w="2027" w:type="dxa"/>
        </w:trPr>
        <w:tc>
          <w:tcPr>
            <w:tcW w:w="3292" w:type="dxa"/>
            <w:gridSpan w:val="9"/>
            <w:shd w:val="clear" w:color="auto" w:fill="F2F2F2" w:themeFill="background1" w:themeFillShade="F2"/>
          </w:tcPr>
          <w:p w14:paraId="55509129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3" w:type="dxa"/>
            <w:gridSpan w:val="22"/>
            <w:vAlign w:val="center"/>
          </w:tcPr>
          <w:p w14:paraId="0EDDC7C3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</w:rPr>
              <w:t>razumjeti književni tekst i diskurs te prepoznati žanrovska i stilska obilježja proznih tekstova 21. stoljeća</w:t>
            </w:r>
          </w:p>
          <w:p w14:paraId="6D452C99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</w:rPr>
              <w:t xml:space="preserve">kritički prosuđivati književne tekstove u odnosu na društvene, političke i kulturne kontekste u kojima su nastali </w:t>
            </w:r>
          </w:p>
          <w:p w14:paraId="11CCE298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</w:rPr>
              <w:t>razlikovati francuske autore 21. stoljeća i posebnosti njihova opusa</w:t>
            </w:r>
          </w:p>
          <w:p w14:paraId="7C1DA22E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</w:rPr>
              <w:t>primijeniti različite metodologije čitanja i tumačenja književnih tekstova</w:t>
            </w:r>
          </w:p>
          <w:p w14:paraId="17E3AB0F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  <w:lang w:eastAsia="hr-HR"/>
              </w:rPr>
              <w:t>sudjelovati u raspravama na temelju prethodne pripreme te argumentirano iznositi mišljenja</w:t>
            </w:r>
          </w:p>
          <w:p w14:paraId="14262B1B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</w:rPr>
              <w:t>biti sposobni kritički razmišljati o temama obuhvaćenim sadržajem kolegija</w:t>
            </w:r>
          </w:p>
          <w:p w14:paraId="17505752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  <w:lang w:eastAsia="hr-HR"/>
              </w:rPr>
              <w:t>biti sposobni provoditi analizu i sintezu sadržaja kolegija</w:t>
            </w:r>
          </w:p>
          <w:p w14:paraId="00329439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  <w:lang w:eastAsia="hr-HR"/>
              </w:rPr>
              <w:t>samostalno raditi na istraživačkom problemu</w:t>
            </w:r>
          </w:p>
        </w:tc>
      </w:tr>
      <w:tr w:rsidR="005F1100" w:rsidRPr="00240D6B" w14:paraId="1AAAC57B" w14:textId="77777777" w:rsidTr="002442B6">
        <w:trPr>
          <w:gridAfter w:val="1"/>
          <w:wAfter w:w="2027" w:type="dxa"/>
        </w:trPr>
        <w:tc>
          <w:tcPr>
            <w:tcW w:w="3292" w:type="dxa"/>
            <w:gridSpan w:val="9"/>
            <w:shd w:val="clear" w:color="auto" w:fill="F2F2F2" w:themeFill="background1" w:themeFillShade="F2"/>
          </w:tcPr>
          <w:p w14:paraId="03D9F82D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3" w:type="dxa"/>
            <w:gridSpan w:val="22"/>
            <w:vAlign w:val="center"/>
          </w:tcPr>
          <w:p w14:paraId="5C12785D" w14:textId="02C5B0AA" w:rsidR="005F1100" w:rsidRPr="00240D6B" w:rsidRDefault="005F1100" w:rsidP="005F110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razlikovati i usporediti književne epohe, razdoblja, pravce, pokrete i škole  francuske književnosti</w:t>
            </w:r>
          </w:p>
          <w:p w14:paraId="4BA07375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</w:rPr>
              <w:t>razumjeti književni tekst i diskurs te prepoznati žanrovska i stilska obilježja književnih tekstova 21. stoljeća</w:t>
            </w:r>
          </w:p>
          <w:p w14:paraId="657A2A04" w14:textId="77777777" w:rsidR="005F1100" w:rsidRPr="00240D6B" w:rsidRDefault="005F1100" w:rsidP="005F110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40D6B">
              <w:rPr>
                <w:rFonts w:ascii="Merriweather" w:hAnsi="Merriweather"/>
                <w:sz w:val="18"/>
                <w:szCs w:val="18"/>
              </w:rPr>
              <w:lastRenderedPageBreak/>
              <w:t xml:space="preserve">kritički prosuđivati književne tekstove u odnosu na društvene, političke i kulturne kontekste u kojima su nastali </w:t>
            </w:r>
          </w:p>
        </w:tc>
      </w:tr>
      <w:tr w:rsidR="005F1100" w:rsidRPr="00240D6B" w14:paraId="13139C26" w14:textId="77777777" w:rsidTr="002442B6">
        <w:trPr>
          <w:gridAfter w:val="1"/>
          <w:wAfter w:w="2027" w:type="dxa"/>
        </w:trPr>
        <w:tc>
          <w:tcPr>
            <w:tcW w:w="9285" w:type="dxa"/>
            <w:gridSpan w:val="31"/>
            <w:shd w:val="clear" w:color="auto" w:fill="D9D9D9" w:themeFill="background1" w:themeFillShade="D9"/>
          </w:tcPr>
          <w:p w14:paraId="2466B3FC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F1100" w:rsidRPr="00240D6B" w14:paraId="0B1CBCCB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725A09DC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033935A3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4CB534E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3"/>
            <w:vAlign w:val="center"/>
          </w:tcPr>
          <w:p w14:paraId="4747ADCE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14:paraId="23E399D8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6D91BD6C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5F1100" w:rsidRPr="00240D6B" w14:paraId="16A9BE48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883623A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135C4AE7" w14:textId="5798FC58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05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6B22EBF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3"/>
            <w:vAlign w:val="center"/>
          </w:tcPr>
          <w:p w14:paraId="0CB84363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14:paraId="13FDD2F5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B92B801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5F1100" w:rsidRPr="00240D6B" w14:paraId="4B0BAFE2" w14:textId="77777777" w:rsidTr="002442B6">
        <w:trPr>
          <w:gridAfter w:val="1"/>
          <w:wAfter w:w="2027" w:type="dxa"/>
          <w:trHeight w:val="19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8F58150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4D6E9388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61EAE76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3"/>
            <w:vAlign w:val="center"/>
          </w:tcPr>
          <w:p w14:paraId="0217A77C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8" w:type="dxa"/>
            <w:gridSpan w:val="11"/>
            <w:vAlign w:val="center"/>
          </w:tcPr>
          <w:p w14:paraId="6080DF84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5F1100" w:rsidRPr="00240D6B" w14:paraId="64066602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A675549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93F7F61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Redovito pohađanje nastave (70% nastavnih sati, 50% u slučaju kolizije), redovito izvršavanje obveza (čitanje zadane literature i lektire), aktivnost na nastavi (sudjelovanje u vođenim raspravama). Aktivno sudjelovanje u raspravama pretpostavlja da su studenti/</w:t>
            </w:r>
            <w:proofErr w:type="spellStart"/>
            <w:r w:rsidRPr="00240D6B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 prije predavanja i seminara pročitali/e članke predviđene za pojedinu temu i pripremili glavne teme za diskusiju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</w:rPr>
              <w:t>.</w:t>
            </w:r>
          </w:p>
        </w:tc>
      </w:tr>
      <w:tr w:rsidR="005F1100" w:rsidRPr="00240D6B" w14:paraId="6C7CE990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64843649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2" w:type="dxa"/>
            <w:gridSpan w:val="15"/>
          </w:tcPr>
          <w:p w14:paraId="3F238D60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  <w:tc>
          <w:tcPr>
            <w:tcW w:w="2471" w:type="dxa"/>
            <w:gridSpan w:val="9"/>
          </w:tcPr>
          <w:p w14:paraId="51F36335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2114" w:type="dxa"/>
            <w:gridSpan w:val="6"/>
          </w:tcPr>
          <w:p w14:paraId="0131BF1A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Jesenski</w:t>
            </w:r>
          </w:p>
        </w:tc>
      </w:tr>
      <w:tr w:rsidR="005F1100" w:rsidRPr="00240D6B" w14:paraId="71D105D6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0F191E18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51A44992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26A7517D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i/>
                <w:sz w:val="18"/>
                <w:szCs w:val="18"/>
              </w:rPr>
              <w:t>Vidi Raspored</w:t>
            </w:r>
          </w:p>
        </w:tc>
        <w:tc>
          <w:tcPr>
            <w:tcW w:w="2114" w:type="dxa"/>
            <w:gridSpan w:val="6"/>
            <w:vAlign w:val="center"/>
          </w:tcPr>
          <w:p w14:paraId="7BEDEE04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i/>
                <w:sz w:val="18"/>
                <w:szCs w:val="18"/>
              </w:rPr>
              <w:t>Vidi Raspored</w:t>
            </w:r>
          </w:p>
        </w:tc>
      </w:tr>
      <w:tr w:rsidR="005F1100" w:rsidRPr="00240D6B" w14:paraId="7AEB9F43" w14:textId="77777777" w:rsidTr="002442B6">
        <w:trPr>
          <w:gridAfter w:val="1"/>
          <w:wAfter w:w="2027" w:type="dxa"/>
          <w:trHeight w:val="2003"/>
        </w:trPr>
        <w:tc>
          <w:tcPr>
            <w:tcW w:w="1798" w:type="dxa"/>
            <w:shd w:val="clear" w:color="auto" w:fill="F2F2F2" w:themeFill="background1" w:themeFillShade="F2"/>
          </w:tcPr>
          <w:p w14:paraId="7AD9E2A4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13D8B02E" w14:textId="1904508B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Kolegij se nadovezuje na ostale kolegije iz francuske književnosti na preddiplomskoj razini studija te, kombinirajući predavanja sa seminarskim čitanjem odabranih književnih tekstova i vođenim raspravama, studente upoznaje s značajnijim autorima</w:t>
            </w:r>
            <w:r w:rsidR="006103D3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 autoricama</w:t>
            </w:r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 francuske književnosti </w:t>
            </w:r>
            <w:r w:rsidR="003E37FC" w:rsidRPr="00240D6B">
              <w:rPr>
                <w:rFonts w:ascii="Merriweather" w:hAnsi="Merriweather" w:cs="Times New Roman"/>
                <w:sz w:val="18"/>
                <w:szCs w:val="18"/>
              </w:rPr>
              <w:t xml:space="preserve">samoga kraja 20. i prva dva desetljeća </w:t>
            </w:r>
            <w:r w:rsidRPr="00240D6B">
              <w:rPr>
                <w:rFonts w:ascii="Merriweather" w:hAnsi="Merriweather" w:cs="Times New Roman"/>
                <w:sz w:val="18"/>
                <w:szCs w:val="18"/>
              </w:rPr>
              <w:t>21. stoljeća</w:t>
            </w:r>
            <w:r w:rsidR="00D70BA8" w:rsidRPr="00240D6B">
              <w:rPr>
                <w:rFonts w:ascii="Merriweather" w:hAnsi="Merriweather" w:cs="Times New Roman"/>
                <w:sz w:val="18"/>
                <w:szCs w:val="18"/>
              </w:rPr>
              <w:t>. Oni djeluju</w:t>
            </w:r>
            <w:r w:rsidR="006103D3" w:rsidRPr="00240D6B">
              <w:rPr>
                <w:rFonts w:ascii="Merriweather" w:hAnsi="Merriweather" w:cs="Times New Roman"/>
                <w:sz w:val="18"/>
                <w:szCs w:val="18"/>
              </w:rPr>
              <w:t xml:space="preserve"> u trenutku </w:t>
            </w:r>
            <w:r w:rsidR="00D70BA8" w:rsidRPr="00240D6B">
              <w:rPr>
                <w:rFonts w:ascii="Merriweather" w:hAnsi="Merriweather" w:cs="Times New Roman"/>
                <w:sz w:val="18"/>
                <w:szCs w:val="18"/>
              </w:rPr>
              <w:t>u kojem</w:t>
            </w:r>
            <w:r w:rsidR="006103D3" w:rsidRPr="00240D6B">
              <w:rPr>
                <w:rFonts w:ascii="Merriweather" w:hAnsi="Merriweather" w:cs="Times New Roman"/>
                <w:sz w:val="18"/>
                <w:szCs w:val="18"/>
              </w:rPr>
              <w:t xml:space="preserve"> formalističke</w:t>
            </w:r>
            <w:r w:rsidR="00D70BA8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 (neo)avangardističke</w:t>
            </w:r>
            <w:r w:rsidR="006103D3" w:rsidRPr="00240D6B">
              <w:rPr>
                <w:rFonts w:ascii="Merriweather" w:hAnsi="Merriweather" w:cs="Times New Roman"/>
                <w:sz w:val="18"/>
                <w:szCs w:val="18"/>
              </w:rPr>
              <w:t xml:space="preserve"> tendencije </w:t>
            </w:r>
            <w:r w:rsidR="00D70BA8" w:rsidRPr="00240D6B">
              <w:rPr>
                <w:rFonts w:ascii="Merriweather" w:hAnsi="Merriweather" w:cs="Times New Roman"/>
                <w:sz w:val="18"/>
                <w:szCs w:val="18"/>
              </w:rPr>
              <w:t>slabe</w:t>
            </w:r>
            <w:r w:rsidR="006103D3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D70BA8" w:rsidRPr="00240D6B">
              <w:rPr>
                <w:rFonts w:ascii="Merriweather" w:hAnsi="Merriweather" w:cs="Times New Roman"/>
                <w:sz w:val="18"/>
                <w:szCs w:val="18"/>
              </w:rPr>
              <w:t xml:space="preserve">te dolazi do izrazitijeg </w:t>
            </w:r>
            <w:r w:rsidR="006103D3" w:rsidRPr="00240D6B">
              <w:rPr>
                <w:rFonts w:ascii="Merriweather" w:hAnsi="Merriweather" w:cs="Times New Roman"/>
                <w:sz w:val="18"/>
                <w:szCs w:val="18"/>
              </w:rPr>
              <w:t>povrat</w:t>
            </w:r>
            <w:r w:rsidR="00D70BA8" w:rsidRPr="00240D6B">
              <w:rPr>
                <w:rFonts w:ascii="Merriweather" w:hAnsi="Merriweather" w:cs="Times New Roman"/>
                <w:sz w:val="18"/>
                <w:szCs w:val="18"/>
              </w:rPr>
              <w:t>ka</w:t>
            </w:r>
            <w:r w:rsidR="006103D3" w:rsidRPr="00240D6B">
              <w:rPr>
                <w:rFonts w:ascii="Merriweather" w:hAnsi="Merriweather" w:cs="Times New Roman"/>
                <w:sz w:val="18"/>
                <w:szCs w:val="18"/>
              </w:rPr>
              <w:t xml:space="preserve"> priči</w:t>
            </w:r>
            <w:r w:rsidR="00D70BA8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 pripovijedanju</w:t>
            </w:r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. Studenti će se upoznati s posebnostima različitih žanrova prozne književnosti kroz čitanje i tumačenje odabranih integralnih književnih tekstova. </w:t>
            </w: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Posebna će se pažnja posvetiti </w:t>
            </w:r>
            <w:r w:rsidR="009A6816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odnosu književnosti i društva, </w:t>
            </w:r>
            <w:r w:rsidR="006B5F47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diskurzivnim konstrukcijama identiteta</w:t>
            </w:r>
            <w:r w:rsidR="00D70BA8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u tekstovima</w:t>
            </w:r>
            <w:r w:rsidR="006B5F47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problematiziranju prešućenih aspekata povijesti 20. stoljeća</w:t>
            </w:r>
            <w:r w:rsidR="00AC7132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u fikcionalnoj književnosti, različitim vrstama autobiografskog diskursa</w:t>
            </w:r>
            <w:r w:rsidR="009A6816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, granicama fikcije</w:t>
            </w:r>
            <w:r w:rsidR="00AC7132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te suvremenim oblicima književnog angažmana. </w:t>
            </w:r>
            <w:r w:rsidR="00D70BA8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Tijekom nastavnih sati pokušat će se doći do spoznaja o </w:t>
            </w:r>
            <w:r w:rsidR="004F2587"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odnosu književnosti i društva, kao i o pozicioniranju suvremene proze u francuskom društvu. </w:t>
            </w:r>
          </w:p>
        </w:tc>
      </w:tr>
      <w:tr w:rsidR="00AC7132" w:rsidRPr="00240D6B" w14:paraId="3279BF78" w14:textId="77777777" w:rsidTr="002442B6">
        <w:trPr>
          <w:gridAfter w:val="1"/>
          <w:wAfter w:w="2027" w:type="dxa"/>
          <w:trHeight w:val="398"/>
        </w:trPr>
        <w:tc>
          <w:tcPr>
            <w:tcW w:w="1798" w:type="dxa"/>
            <w:vMerge w:val="restart"/>
            <w:shd w:val="clear" w:color="auto" w:fill="F2F2F2" w:themeFill="background1" w:themeFillShade="F2"/>
          </w:tcPr>
          <w:p w14:paraId="3C49C347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4D55108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1.</w:t>
            </w:r>
          </w:p>
        </w:tc>
        <w:tc>
          <w:tcPr>
            <w:tcW w:w="6880" w:type="dxa"/>
            <w:gridSpan w:val="28"/>
          </w:tcPr>
          <w:p w14:paraId="3692A2BB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Description et objectif du cours.</w:t>
            </w:r>
          </w:p>
        </w:tc>
      </w:tr>
      <w:tr w:rsidR="00AC7132" w:rsidRPr="00240D6B" w14:paraId="72F39363" w14:textId="77777777" w:rsidTr="002442B6">
        <w:trPr>
          <w:gridAfter w:val="1"/>
          <w:wAfter w:w="2027" w:type="dxa"/>
          <w:trHeight w:val="28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3B328C7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0B300707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2.</w:t>
            </w:r>
          </w:p>
        </w:tc>
        <w:tc>
          <w:tcPr>
            <w:tcW w:w="6880" w:type="dxa"/>
            <w:gridSpan w:val="28"/>
          </w:tcPr>
          <w:p w14:paraId="4C8A5BE1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Qu'est-ce que la littérature contemporaine ?</w:t>
            </w:r>
          </w:p>
        </w:tc>
      </w:tr>
      <w:tr w:rsidR="00AC7132" w:rsidRPr="00240D6B" w14:paraId="094EB65E" w14:textId="77777777" w:rsidTr="00BF3D81">
        <w:trPr>
          <w:gridAfter w:val="1"/>
          <w:wAfter w:w="2027" w:type="dxa"/>
          <w:trHeight w:val="31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56A3634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56AE1878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3.</w:t>
            </w:r>
          </w:p>
        </w:tc>
        <w:tc>
          <w:tcPr>
            <w:tcW w:w="6880" w:type="dxa"/>
            <w:gridSpan w:val="28"/>
          </w:tcPr>
          <w:p w14:paraId="05529F7F" w14:textId="77777777" w:rsidR="009A6816" w:rsidRPr="00240D6B" w:rsidRDefault="009A6816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Le</w:t>
            </w:r>
            <w:r w:rsidR="00AC7132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récit de filiation : </w:t>
            </w:r>
          </w:p>
          <w:p w14:paraId="6FED9A8B" w14:textId="67F035F3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J. M. G. Le Clézio, 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L'Africain</w:t>
            </w:r>
          </w:p>
        </w:tc>
      </w:tr>
      <w:tr w:rsidR="00AC7132" w:rsidRPr="00240D6B" w14:paraId="41CB7599" w14:textId="77777777" w:rsidTr="002442B6">
        <w:trPr>
          <w:gridAfter w:val="1"/>
          <w:wAfter w:w="2027" w:type="dxa"/>
          <w:trHeight w:val="25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2BB6EEF8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23FA6A20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4.</w:t>
            </w:r>
          </w:p>
        </w:tc>
        <w:tc>
          <w:tcPr>
            <w:tcW w:w="6880" w:type="dxa"/>
            <w:gridSpan w:val="28"/>
          </w:tcPr>
          <w:p w14:paraId="0C5892B1" w14:textId="49B0F2F7" w:rsidR="00913508" w:rsidRPr="00240D6B" w:rsidRDefault="00913508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Ecrire l’auto-socio-biographie</w:t>
            </w:r>
            <w:r w:rsidR="006B5F47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: </w:t>
            </w:r>
          </w:p>
          <w:p w14:paraId="58C612C8" w14:textId="5E56E4F0" w:rsidR="00AC7132" w:rsidRPr="00240D6B" w:rsidRDefault="006B5F47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highlight w:val="yellow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É</w:t>
            </w:r>
            <w:r w:rsidR="00913508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douard Louis, </w:t>
            </w:r>
            <w:r w:rsidR="00913508"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En finir avec Eddy Belleguele</w:t>
            </w:r>
          </w:p>
        </w:tc>
      </w:tr>
      <w:tr w:rsidR="00AC7132" w:rsidRPr="00240D6B" w14:paraId="0D6BC013" w14:textId="77777777" w:rsidTr="002442B6">
        <w:trPr>
          <w:gridAfter w:val="1"/>
          <w:wAfter w:w="2027" w:type="dxa"/>
          <w:trHeight w:val="22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56B3A7C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6DAF80F5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5.</w:t>
            </w:r>
          </w:p>
        </w:tc>
        <w:tc>
          <w:tcPr>
            <w:tcW w:w="6880" w:type="dxa"/>
            <w:gridSpan w:val="28"/>
          </w:tcPr>
          <w:p w14:paraId="3452BB8A" w14:textId="0E2936AB" w:rsidR="00913508" w:rsidRPr="00240D6B" w:rsidRDefault="00913508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L</w:t>
            </w:r>
            <w:r w:rsidR="00AC7132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a fiction 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biographique </w:t>
            </w:r>
            <w:r w:rsidR="00AC7132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: </w:t>
            </w:r>
          </w:p>
          <w:p w14:paraId="00F33603" w14:textId="77999A4B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M</w:t>
            </w:r>
            <w:r w:rsidR="00913508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arie 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Darrieussecq, 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Être ici est une splendeur</w:t>
            </w:r>
          </w:p>
        </w:tc>
      </w:tr>
      <w:tr w:rsidR="00AC7132" w:rsidRPr="00240D6B" w14:paraId="759073F5" w14:textId="77777777" w:rsidTr="006B5F47">
        <w:trPr>
          <w:gridAfter w:val="1"/>
          <w:wAfter w:w="2027" w:type="dxa"/>
          <w:trHeight w:val="629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9B4481B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43F29C9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6.</w:t>
            </w:r>
          </w:p>
        </w:tc>
        <w:tc>
          <w:tcPr>
            <w:tcW w:w="6880" w:type="dxa"/>
            <w:gridSpan w:val="28"/>
          </w:tcPr>
          <w:p w14:paraId="710A6DAC" w14:textId="77777777" w:rsidR="006B5F47" w:rsidRPr="00240D6B" w:rsidRDefault="006B5F47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Espace urbain et discours identitaire</w:t>
            </w:r>
            <w:r w:rsidR="00AC7132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 : </w:t>
            </w:r>
          </w:p>
          <w:p w14:paraId="5632CA87" w14:textId="141D88F0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240D6B">
              <w:rPr>
                <w:rFonts w:ascii="Merriweather" w:hAnsi="Merriweather" w:cs="Times New Roman"/>
                <w:sz w:val="18"/>
                <w:szCs w:val="18"/>
                <w:lang w:val="en-US"/>
              </w:rPr>
              <w:t>F</w:t>
            </w:r>
            <w:r w:rsidR="006B5F47" w:rsidRPr="00240D6B">
              <w:rPr>
                <w:rFonts w:ascii="Merriweather" w:hAnsi="Merriweather" w:cs="Times New Roman"/>
                <w:sz w:val="18"/>
                <w:szCs w:val="18"/>
                <w:lang w:val="en-US"/>
              </w:rPr>
              <w:t>aiza</w:t>
            </w:r>
            <w:proofErr w:type="spellEnd"/>
            <w:r w:rsidRPr="00240D6B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0D6B">
              <w:rPr>
                <w:rFonts w:ascii="Merriweather" w:hAnsi="Merriweather" w:cs="Times New Roman"/>
                <w:sz w:val="18"/>
                <w:szCs w:val="18"/>
                <w:lang w:val="en-US"/>
              </w:rPr>
              <w:t>Guène</w:t>
            </w:r>
            <w:proofErr w:type="spellEnd"/>
            <w:r w:rsidRPr="00240D6B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en-US"/>
              </w:rPr>
              <w:t>Kiffe</w:t>
            </w:r>
            <w:proofErr w:type="spellEnd"/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en-US"/>
              </w:rPr>
              <w:t>kiffe</w:t>
            </w:r>
            <w:proofErr w:type="spellEnd"/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en-US"/>
              </w:rPr>
              <w:t>demain</w:t>
            </w:r>
            <w:proofErr w:type="spellEnd"/>
          </w:p>
        </w:tc>
      </w:tr>
      <w:tr w:rsidR="00AC7132" w:rsidRPr="00240D6B" w14:paraId="241FE5B5" w14:textId="77777777" w:rsidTr="002442B6">
        <w:trPr>
          <w:gridAfter w:val="1"/>
          <w:wAfter w:w="2027" w:type="dxa"/>
          <w:trHeight w:val="31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41BD72D1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BEA9CA9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7.</w:t>
            </w:r>
          </w:p>
        </w:tc>
        <w:tc>
          <w:tcPr>
            <w:tcW w:w="6880" w:type="dxa"/>
            <w:gridSpan w:val="28"/>
          </w:tcPr>
          <w:p w14:paraId="1B8BCCD7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M</w:t>
            </w:r>
            <w:r w:rsidR="006B5F47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ichel 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Houellebecq, 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La Soumission</w:t>
            </w:r>
          </w:p>
          <w:p w14:paraId="1288C5FB" w14:textId="495C7F4D" w:rsidR="006B5F47" w:rsidRPr="00240D6B" w:rsidRDefault="006B5F47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Cs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iCs/>
                <w:sz w:val="18"/>
                <w:szCs w:val="18"/>
                <w:lang w:val="fr-FR"/>
              </w:rPr>
              <w:t>Un livre dangereux ?</w:t>
            </w:r>
          </w:p>
        </w:tc>
      </w:tr>
      <w:tr w:rsidR="00AC7132" w:rsidRPr="00240D6B" w14:paraId="39B6D678" w14:textId="77777777" w:rsidTr="00BF3D81">
        <w:trPr>
          <w:gridAfter w:val="1"/>
          <w:wAfter w:w="2027" w:type="dxa"/>
          <w:trHeight w:val="24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76BC1B14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2967D5AA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8.</w:t>
            </w:r>
          </w:p>
        </w:tc>
        <w:tc>
          <w:tcPr>
            <w:tcW w:w="6880" w:type="dxa"/>
            <w:gridSpan w:val="28"/>
          </w:tcPr>
          <w:p w14:paraId="0F7C96EE" w14:textId="596B7E7F" w:rsidR="00AC7132" w:rsidRPr="00240D6B" w:rsidRDefault="009C7D3B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Mémoire familiale dans </w:t>
            </w:r>
            <w:r w:rsidRPr="00240D6B">
              <w:rPr>
                <w:rFonts w:ascii="Merriweather" w:hAnsi="Merriweather" w:cs="Times New Roman"/>
                <w:i/>
                <w:iCs/>
                <w:sz w:val="18"/>
                <w:szCs w:val="18"/>
                <w:lang w:val="fr-FR"/>
              </w:rPr>
              <w:t>Rien ne s’oppose à la nuit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de Delphine de Vigan</w:t>
            </w:r>
          </w:p>
        </w:tc>
      </w:tr>
      <w:tr w:rsidR="00AC7132" w:rsidRPr="00240D6B" w14:paraId="633E03C6" w14:textId="77777777" w:rsidTr="00BF3D81">
        <w:trPr>
          <w:gridAfter w:val="1"/>
          <w:wAfter w:w="2027" w:type="dxa"/>
          <w:trHeight w:val="23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64E814D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CC33A4A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9.</w:t>
            </w:r>
          </w:p>
        </w:tc>
        <w:tc>
          <w:tcPr>
            <w:tcW w:w="6880" w:type="dxa"/>
            <w:gridSpan w:val="28"/>
          </w:tcPr>
          <w:p w14:paraId="47996E7F" w14:textId="6267EB1D" w:rsidR="00AC7132" w:rsidRPr="00240D6B" w:rsidRDefault="009C7D3B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Réécrire le trauma :</w:t>
            </w:r>
          </w:p>
          <w:p w14:paraId="68A0287C" w14:textId="51104833" w:rsidR="009C7D3B" w:rsidRPr="00240D6B" w:rsidRDefault="009C7D3B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Annie Ernaux, </w:t>
            </w:r>
            <w:r w:rsidRPr="00240D6B">
              <w:rPr>
                <w:rFonts w:ascii="Merriweather" w:hAnsi="Merriweather" w:cs="Times New Roman"/>
                <w:i/>
                <w:iCs/>
                <w:sz w:val="18"/>
                <w:szCs w:val="18"/>
                <w:lang w:val="fr-FR"/>
              </w:rPr>
              <w:t>L’évènement</w:t>
            </w:r>
          </w:p>
        </w:tc>
      </w:tr>
      <w:tr w:rsidR="00AC7132" w:rsidRPr="00240D6B" w14:paraId="1E30E67E" w14:textId="77777777" w:rsidTr="00BF3D81">
        <w:trPr>
          <w:gridAfter w:val="1"/>
          <w:wAfter w:w="2027" w:type="dxa"/>
          <w:trHeight w:val="254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D239DE4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3A6D214D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10.</w:t>
            </w:r>
          </w:p>
        </w:tc>
        <w:tc>
          <w:tcPr>
            <w:tcW w:w="6880" w:type="dxa"/>
            <w:gridSpan w:val="28"/>
          </w:tcPr>
          <w:p w14:paraId="40C0A969" w14:textId="77777777" w:rsidR="00AC7132" w:rsidRPr="00240D6B" w:rsidRDefault="003E37FC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Un avatar du nouveau roman :</w:t>
            </w:r>
          </w:p>
          <w:p w14:paraId="07A348EA" w14:textId="475BCAEA" w:rsidR="003E37FC" w:rsidRPr="00240D6B" w:rsidRDefault="003E37FC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Jean Echenoz, </w:t>
            </w:r>
            <w:r w:rsidRPr="00240D6B">
              <w:rPr>
                <w:rFonts w:ascii="Merriweather" w:hAnsi="Merriweather" w:cs="Times New Roman"/>
                <w:i/>
                <w:iCs/>
                <w:sz w:val="18"/>
                <w:szCs w:val="18"/>
                <w:lang w:val="fr-FR"/>
              </w:rPr>
              <w:t>Je m’en vais</w:t>
            </w:r>
          </w:p>
        </w:tc>
      </w:tr>
      <w:tr w:rsidR="00AC7132" w:rsidRPr="00240D6B" w14:paraId="50A7F669" w14:textId="77777777" w:rsidTr="00BF3D81">
        <w:trPr>
          <w:gridAfter w:val="1"/>
          <w:wAfter w:w="2027" w:type="dxa"/>
          <w:trHeight w:val="258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5072D10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0F58AEFC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11. </w:t>
            </w:r>
          </w:p>
        </w:tc>
        <w:tc>
          <w:tcPr>
            <w:tcW w:w="6880" w:type="dxa"/>
            <w:gridSpan w:val="28"/>
          </w:tcPr>
          <w:p w14:paraId="583DA9CD" w14:textId="644FC6B0" w:rsidR="00AC7132" w:rsidRPr="00240D6B" w:rsidRDefault="00A445D4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L’image du Grand siècle dans</w:t>
            </w:r>
            <w:r w:rsidR="00C92D7C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r w:rsidR="00C92D7C" w:rsidRPr="00240D6B">
              <w:rPr>
                <w:rFonts w:ascii="Merriweather" w:hAnsi="Merriweather" w:cs="Times New Roman"/>
                <w:i/>
                <w:iCs/>
                <w:sz w:val="18"/>
                <w:szCs w:val="18"/>
                <w:lang w:val="fr-FR"/>
              </w:rPr>
              <w:t>Tous les matins du monde</w:t>
            </w:r>
            <w:r w:rsidRPr="00240D6B">
              <w:rPr>
                <w:rFonts w:ascii="Merriweather" w:hAnsi="Merriweather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de Pascal Quignard</w:t>
            </w:r>
          </w:p>
        </w:tc>
      </w:tr>
      <w:tr w:rsidR="00AC7132" w:rsidRPr="00240D6B" w14:paraId="506C4E95" w14:textId="77777777" w:rsidTr="002442B6">
        <w:trPr>
          <w:gridAfter w:val="1"/>
          <w:wAfter w:w="2027" w:type="dxa"/>
          <w:trHeight w:val="225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6A50B49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4AED400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12.</w:t>
            </w:r>
          </w:p>
        </w:tc>
        <w:tc>
          <w:tcPr>
            <w:tcW w:w="6880" w:type="dxa"/>
            <w:gridSpan w:val="28"/>
          </w:tcPr>
          <w:p w14:paraId="36957145" w14:textId="77777777" w:rsidR="006B5F47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Ecrire la Grande guerre : </w:t>
            </w:r>
          </w:p>
          <w:p w14:paraId="1207CDBC" w14:textId="4F70E5C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lastRenderedPageBreak/>
              <w:t>J</w:t>
            </w:r>
            <w:r w:rsidR="006B5F47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ean 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Rouaud, 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Les champs d'honneur</w:t>
            </w:r>
          </w:p>
        </w:tc>
      </w:tr>
      <w:tr w:rsidR="00AC7132" w:rsidRPr="00240D6B" w14:paraId="66CE0829" w14:textId="77777777" w:rsidTr="00BF3D81">
        <w:trPr>
          <w:gridAfter w:val="1"/>
          <w:wAfter w:w="2027" w:type="dxa"/>
          <w:trHeight w:val="266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60F8730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7CC22D34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13.</w:t>
            </w:r>
          </w:p>
        </w:tc>
        <w:tc>
          <w:tcPr>
            <w:tcW w:w="6880" w:type="dxa"/>
            <w:gridSpan w:val="28"/>
          </w:tcPr>
          <w:p w14:paraId="6C08D20D" w14:textId="77777777" w:rsidR="00C92D7C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Ecrire la Seconde guerre mondiale : </w:t>
            </w:r>
          </w:p>
          <w:p w14:paraId="404D0BE4" w14:textId="47BA0613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L</w:t>
            </w:r>
            <w:r w:rsidR="00C92D7C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aurent 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Binet, 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HHhH</w:t>
            </w:r>
          </w:p>
        </w:tc>
      </w:tr>
      <w:tr w:rsidR="00AC7132" w:rsidRPr="00240D6B" w14:paraId="52919471" w14:textId="77777777" w:rsidTr="00BF3D81">
        <w:trPr>
          <w:gridAfter w:val="1"/>
          <w:wAfter w:w="2027" w:type="dxa"/>
          <w:trHeight w:val="27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91C0109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2607E94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14.</w:t>
            </w:r>
          </w:p>
        </w:tc>
        <w:tc>
          <w:tcPr>
            <w:tcW w:w="6880" w:type="dxa"/>
            <w:gridSpan w:val="28"/>
          </w:tcPr>
          <w:p w14:paraId="1AE4B21C" w14:textId="4E57C903" w:rsidR="00AC7132" w:rsidRPr="00240D6B" w:rsidRDefault="00C92D7C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Que peut la littérature ?</w:t>
            </w:r>
          </w:p>
        </w:tc>
      </w:tr>
      <w:tr w:rsidR="00AC7132" w:rsidRPr="00240D6B" w14:paraId="19EC36D7" w14:textId="77777777" w:rsidTr="00AC7132">
        <w:trPr>
          <w:gridAfter w:val="1"/>
          <w:wAfter w:w="2027" w:type="dxa"/>
          <w:trHeight w:val="360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35F89CB3" w14:textId="77777777" w:rsidR="00AC7132" w:rsidRPr="00240D6B" w:rsidRDefault="00AC7132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14:paraId="1DA05D37" w14:textId="77777777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15.</w:t>
            </w:r>
          </w:p>
        </w:tc>
        <w:tc>
          <w:tcPr>
            <w:tcW w:w="6880" w:type="dxa"/>
            <w:gridSpan w:val="28"/>
          </w:tcPr>
          <w:p w14:paraId="2C24C6D2" w14:textId="7F9A97CE" w:rsidR="00AC7132" w:rsidRPr="00240D6B" w:rsidRDefault="00AC7132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Bilan d</w:t>
            </w:r>
            <w:r w:rsidR="009A6816"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e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cours.</w:t>
            </w:r>
          </w:p>
        </w:tc>
      </w:tr>
      <w:tr w:rsidR="005F1100" w:rsidRPr="00240D6B" w14:paraId="42112728" w14:textId="77777777" w:rsidTr="0012793A">
        <w:trPr>
          <w:gridAfter w:val="1"/>
          <w:wAfter w:w="2027" w:type="dxa"/>
          <w:trHeight w:val="1035"/>
        </w:trPr>
        <w:tc>
          <w:tcPr>
            <w:tcW w:w="1798" w:type="dxa"/>
            <w:shd w:val="clear" w:color="auto" w:fill="F2F2F2" w:themeFill="background1" w:themeFillShade="F2"/>
          </w:tcPr>
          <w:p w14:paraId="160093B3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F2EF958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Materijali postavljeni na e-kolegiju u sustavu Merlin.</w:t>
            </w:r>
          </w:p>
          <w:p w14:paraId="38206B1A" w14:textId="77777777" w:rsidR="005F1100" w:rsidRPr="00240D6B" w:rsidRDefault="005F1100" w:rsidP="005F1100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Blanckmann, B. et </w:t>
            </w:r>
            <w:proofErr w:type="gramStart"/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al.,</w:t>
            </w:r>
            <w:proofErr w:type="gramEnd"/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 roman français au tournant du XXI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siècle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>, Presses Sorbonne Nouvelle, 2004.</w:t>
            </w:r>
          </w:p>
          <w:p w14:paraId="4EB99EE2" w14:textId="627A355D" w:rsidR="005F1100" w:rsidRPr="00240D6B" w:rsidRDefault="006103D3" w:rsidP="005F1100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240D6B">
              <w:rPr>
                <w:rFonts w:ascii="Merriweather" w:hAnsi="Merriweather" w:cs="Times New Roman"/>
                <w:sz w:val="18"/>
                <w:szCs w:val="18"/>
              </w:rPr>
              <w:t>Gefen</w:t>
            </w:r>
            <w:proofErr w:type="spellEnd"/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240D6B">
              <w:rPr>
                <w:rFonts w:ascii="Merriweather" w:hAnsi="Merriweather" w:cs="Times New Roman"/>
                <w:sz w:val="18"/>
                <w:szCs w:val="18"/>
              </w:rPr>
              <w:t>Alexandre</w:t>
            </w:r>
            <w:proofErr w:type="spellEnd"/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240D6B">
              <w:rPr>
                <w:rFonts w:ascii="Merriweather" w:hAnsi="Merriweather" w:cs="Times New Roman"/>
                <w:i/>
                <w:iCs/>
                <w:sz w:val="18"/>
                <w:szCs w:val="18"/>
                <w:lang w:val="fr-FR"/>
              </w:rPr>
              <w:t>Réparer le monde. La littérature française face au XXIe siècle</w:t>
            </w:r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, José </w:t>
            </w:r>
            <w:proofErr w:type="spellStart"/>
            <w:r w:rsidRPr="00240D6B">
              <w:rPr>
                <w:rFonts w:ascii="Merriweather" w:hAnsi="Merriweather" w:cs="Times New Roman"/>
                <w:sz w:val="18"/>
                <w:szCs w:val="18"/>
              </w:rPr>
              <w:t>Cortì</w:t>
            </w:r>
            <w:proofErr w:type="spellEnd"/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, 2017. </w:t>
            </w:r>
          </w:p>
        </w:tc>
      </w:tr>
      <w:tr w:rsidR="005F1100" w:rsidRPr="00240D6B" w14:paraId="045BE67C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27180851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44E838D" w14:textId="77777777" w:rsidR="00AC7132" w:rsidRPr="00240D6B" w:rsidRDefault="005F1100" w:rsidP="006103D3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Labouret, D., 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Littérature française du XX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siècle (1900-2010)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Armand Colin, 2013. </w:t>
            </w:r>
          </w:p>
          <w:p w14:paraId="6003DCA5" w14:textId="0F54E7A8" w:rsidR="005F1100" w:rsidRPr="00240D6B" w:rsidRDefault="005F1100" w:rsidP="006103D3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Touret, M. (dir.), </w:t>
            </w:r>
            <w:r w:rsidRPr="00240D6B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Histoire de la littérature française du XX</w:t>
            </w:r>
            <w:r w:rsidRPr="00240D6B">
              <w:rPr>
                <w:rFonts w:ascii="Merriweather" w:eastAsia="Times New Roman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240D6B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 xml:space="preserve"> siècle, tome II, Après 1940</w:t>
            </w: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Presses Universitaires de Rennes, 2008.</w:t>
            </w:r>
          </w:p>
          <w:p w14:paraId="4747E176" w14:textId="2BA14602" w:rsidR="006103D3" w:rsidRPr="00240D6B" w:rsidRDefault="006103D3" w:rsidP="006103D3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Viart, D., Vercier, B., </w:t>
            </w:r>
            <w:r w:rsidRPr="00240D6B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La littérature française au présent. Héritage, modernité, mutations</w:t>
            </w: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Bordas, 2008.</w:t>
            </w:r>
          </w:p>
          <w:p w14:paraId="0F34A240" w14:textId="77777777" w:rsidR="005F1100" w:rsidRPr="00240D6B" w:rsidRDefault="005F1100" w:rsidP="006103D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 xml:space="preserve">Viart, D., </w:t>
            </w:r>
            <w:r w:rsidRPr="00240D6B">
              <w:rPr>
                <w:rFonts w:ascii="Merriweather" w:hAnsi="Merriweather" w:cs="Times New Roman"/>
                <w:bCs/>
                <w:i/>
                <w:sz w:val="18"/>
                <w:szCs w:val="18"/>
                <w:lang w:val="fr-FR"/>
              </w:rPr>
              <w:t>Le roman français au XX</w:t>
            </w:r>
            <w:r w:rsidRPr="00240D6B">
              <w:rPr>
                <w:rFonts w:ascii="Merriweather" w:hAnsi="Merriweather" w:cs="Times New Roman"/>
                <w:bCs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240D6B">
              <w:rPr>
                <w:rFonts w:ascii="Merriweather" w:hAnsi="Merriweather" w:cs="Times New Roman"/>
                <w:bCs/>
                <w:i/>
                <w:sz w:val="18"/>
                <w:szCs w:val="18"/>
                <w:lang w:val="fr-FR"/>
              </w:rPr>
              <w:t xml:space="preserve"> siècle</w:t>
            </w:r>
            <w:r w:rsidRPr="00240D6B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, Armand Colin, Paris, 2011.</w:t>
            </w:r>
          </w:p>
          <w:p w14:paraId="714131D6" w14:textId="77777777" w:rsidR="005F1100" w:rsidRPr="00240D6B" w:rsidRDefault="005F1100" w:rsidP="006103D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r w:rsidRPr="00240D6B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*</w:t>
            </w:r>
          </w:p>
          <w:p w14:paraId="6D21CE9C" w14:textId="77777777" w:rsidR="005F1100" w:rsidRPr="00240D6B" w:rsidRDefault="005F1100" w:rsidP="006103D3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it-IT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val="it-IT"/>
              </w:rPr>
              <w:t xml:space="preserve">Biti, V., </w:t>
            </w:r>
            <w:r w:rsidRPr="00240D6B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Suvremena teorija pripovjedanja</w:t>
            </w:r>
            <w:r w:rsidRPr="00240D6B">
              <w:rPr>
                <w:rFonts w:ascii="Merriweather" w:hAnsi="Merriweather" w:cs="Times New Roman"/>
                <w:sz w:val="18"/>
                <w:szCs w:val="18"/>
                <w:lang w:val="it-IT"/>
              </w:rPr>
              <w:t>, Globus, zagreb, 1992.</w:t>
            </w:r>
          </w:p>
          <w:p w14:paraId="450017DB" w14:textId="77777777" w:rsidR="005F1100" w:rsidRPr="00240D6B" w:rsidRDefault="005F1100" w:rsidP="006103D3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Biti, V., </w:t>
            </w:r>
            <w:r w:rsidRPr="00240D6B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  <w:lang w:eastAsia="hr-HR"/>
              </w:rPr>
              <w:t>Pojmovnik suvremene književne i kulturne teorije</w:t>
            </w: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, Matica hrvatska, Zagreb, 2000.</w:t>
            </w:r>
          </w:p>
          <w:p w14:paraId="2F9FF6AA" w14:textId="77777777" w:rsidR="005F1100" w:rsidRPr="00240D6B" w:rsidRDefault="005F1100" w:rsidP="006103D3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it-IT"/>
              </w:rPr>
            </w:pP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val="it-IT"/>
              </w:rPr>
              <w:t xml:space="preserve">Compagnon, A., </w:t>
            </w:r>
            <w:r w:rsidRPr="00240D6B">
              <w:rPr>
                <w:rFonts w:ascii="Merriweather" w:eastAsia="Times New Roman" w:hAnsi="Merriweather" w:cs="Times New Roman"/>
                <w:i/>
                <w:sz w:val="18"/>
                <w:szCs w:val="18"/>
                <w:lang w:val="it-IT"/>
              </w:rPr>
              <w:t>Demon teorije</w:t>
            </w: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val="it-IT"/>
              </w:rPr>
              <w:t>, AGM, Zagreb, 2007.</w:t>
            </w:r>
          </w:p>
          <w:p w14:paraId="26C6A3E3" w14:textId="77777777" w:rsidR="005F1100" w:rsidRPr="00240D6B" w:rsidRDefault="005F1100" w:rsidP="006103D3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Culler</w:t>
            </w:r>
            <w:proofErr w:type="spellEnd"/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, J., </w:t>
            </w:r>
            <w:r w:rsidRPr="00240D6B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  <w:lang w:eastAsia="hr-HR"/>
              </w:rPr>
              <w:t>Književna teorija</w:t>
            </w:r>
            <w:r w:rsidRPr="00240D6B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, AGM, Zagreb, 2001.</w:t>
            </w:r>
          </w:p>
          <w:p w14:paraId="2D8A03EC" w14:textId="77777777" w:rsidR="005F1100" w:rsidRPr="00240D6B" w:rsidRDefault="005F1100" w:rsidP="006103D3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Grdešić, M., </w:t>
            </w:r>
            <w:r w:rsidRPr="00240D6B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Uvod u </w:t>
            </w:r>
            <w:proofErr w:type="spellStart"/>
            <w:r w:rsidRPr="00240D6B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naratologiju</w:t>
            </w:r>
            <w:proofErr w:type="spellEnd"/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>Leykam</w:t>
            </w:r>
            <w:proofErr w:type="spellEnd"/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>international</w:t>
            </w:r>
            <w:proofErr w:type="spellEnd"/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>, Zagreb, 2015.</w:t>
            </w:r>
          </w:p>
          <w:p w14:paraId="22C54103" w14:textId="77777777" w:rsidR="005F1100" w:rsidRPr="00240D6B" w:rsidRDefault="005F1100" w:rsidP="006103D3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Peleš, G., </w:t>
            </w:r>
            <w:r w:rsidRPr="00240D6B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Tumačenje romana</w:t>
            </w:r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>ArTresor</w:t>
            </w:r>
            <w:proofErr w:type="spellEnd"/>
            <w:r w:rsidRPr="00240D6B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Naklada, Zagreb, 1999.</w:t>
            </w:r>
          </w:p>
        </w:tc>
      </w:tr>
      <w:tr w:rsidR="005F1100" w:rsidRPr="00240D6B" w14:paraId="31781D9D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4A5E715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7B9EE7C4" w14:textId="77777777" w:rsidR="005F1100" w:rsidRPr="00240D6B" w:rsidRDefault="00125EF1" w:rsidP="005F1100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5F1100" w:rsidRPr="00240D6B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</w:rPr>
                <w:t>www.gallica.bnf.fr</w:t>
              </w:r>
            </w:hyperlink>
          </w:p>
          <w:p w14:paraId="1A2E53ED" w14:textId="77777777" w:rsidR="005F1100" w:rsidRPr="00240D6B" w:rsidRDefault="00125EF1" w:rsidP="005F1100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9" w:history="1">
              <w:r w:rsidR="005F1100" w:rsidRPr="00240D6B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</w:rPr>
                <w:t>http://auteurs.contemporain.info/doku.php/accueil</w:t>
              </w:r>
            </w:hyperlink>
          </w:p>
          <w:p w14:paraId="7E56592D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5F1100" w:rsidRPr="00240D6B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http://www.lehman.edu/deanhum/langlit/french/lit.html</w:t>
              </w:r>
            </w:hyperlink>
          </w:p>
          <w:p w14:paraId="51A80863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5F1100" w:rsidRPr="00240D6B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www.franceculture.fr</w:t>
              </w:r>
            </w:hyperlink>
          </w:p>
          <w:p w14:paraId="36568D51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>http://www.lhn.uni-hamburg.de/contents.html</w:t>
            </w:r>
          </w:p>
        </w:tc>
      </w:tr>
      <w:tr w:rsidR="005F1100" w:rsidRPr="00240D6B" w14:paraId="27192FD1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  <w:vAlign w:val="center"/>
          </w:tcPr>
          <w:p w14:paraId="6814EAEC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3" w:type="dxa"/>
            <w:gridSpan w:val="25"/>
          </w:tcPr>
          <w:p w14:paraId="0585463D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64E45837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5F1100" w:rsidRPr="00240D6B" w14:paraId="3B1C332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C4C25BE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11"/>
            <w:vAlign w:val="center"/>
          </w:tcPr>
          <w:p w14:paraId="6050A211" w14:textId="77777777" w:rsidR="005F1100" w:rsidRPr="00240D6B" w:rsidRDefault="00125EF1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0666149" w14:textId="77777777" w:rsidR="005F1100" w:rsidRPr="00240D6B" w:rsidRDefault="005F1100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42AEF1B4" w14:textId="77777777" w:rsidR="005F1100" w:rsidRPr="00240D6B" w:rsidRDefault="00125EF1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C7B6B78" w14:textId="77777777" w:rsidR="005F1100" w:rsidRPr="00240D6B" w:rsidRDefault="005F1100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5D6B5B5" w14:textId="77777777" w:rsidR="005F1100" w:rsidRPr="00240D6B" w:rsidRDefault="00125EF1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0905B5CD" w14:textId="77777777" w:rsidR="005F1100" w:rsidRPr="00240D6B" w:rsidRDefault="00125EF1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F1100" w:rsidRPr="00240D6B" w14:paraId="4FC1CE91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43E3CD37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15449398" w14:textId="77777777" w:rsidR="005F1100" w:rsidRPr="00240D6B" w:rsidRDefault="00125EF1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2DEF52E" w14:textId="77777777" w:rsidR="005F1100" w:rsidRPr="00240D6B" w:rsidRDefault="00125EF1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3E7099B6" w14:textId="77777777" w:rsidR="005F1100" w:rsidRPr="00240D6B" w:rsidRDefault="00125EF1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0C5B736" w14:textId="77777777" w:rsidR="005F1100" w:rsidRPr="00240D6B" w:rsidRDefault="005F1100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C123FCD" w14:textId="77777777" w:rsidR="005F1100" w:rsidRPr="00240D6B" w:rsidRDefault="00125EF1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3266342" w14:textId="77777777" w:rsidR="005F1100" w:rsidRPr="00240D6B" w:rsidRDefault="005F1100" w:rsidP="005F110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2BA9A5E" w14:textId="77777777" w:rsidR="005F1100" w:rsidRPr="00240D6B" w:rsidRDefault="00125EF1" w:rsidP="005F110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5" w:type="dxa"/>
            <w:vAlign w:val="center"/>
          </w:tcPr>
          <w:p w14:paraId="1BC0D541" w14:textId="77777777" w:rsidR="005F1100" w:rsidRPr="00240D6B" w:rsidRDefault="00125EF1" w:rsidP="005F110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F1100" w:rsidRPr="00240D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F1100" w:rsidRPr="00240D6B" w14:paraId="730A9484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591E741B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0590B13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>20% aktivno sudjelovanje na nastavi, 80% usmeni ispit</w:t>
            </w:r>
          </w:p>
        </w:tc>
      </w:tr>
      <w:tr w:rsidR="005F1100" w:rsidRPr="00240D6B" w14:paraId="61A6AD36" w14:textId="77777777" w:rsidTr="002442B6">
        <w:trPr>
          <w:gridAfter w:val="1"/>
          <w:wAfter w:w="2027" w:type="dxa"/>
        </w:trPr>
        <w:tc>
          <w:tcPr>
            <w:tcW w:w="1798" w:type="dxa"/>
            <w:vMerge w:val="restart"/>
            <w:shd w:val="clear" w:color="auto" w:fill="F2F2F2" w:themeFill="background1" w:themeFillShade="F2"/>
          </w:tcPr>
          <w:p w14:paraId="77F08A21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14:paraId="61F01E14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53BEDC7A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391" w:type="dxa"/>
            <w:gridSpan w:val="25"/>
            <w:vAlign w:val="center"/>
          </w:tcPr>
          <w:p w14:paraId="5C1D0DC9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5F1100" w:rsidRPr="00240D6B" w14:paraId="1986DE6F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524FDE9C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5D1BF963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391" w:type="dxa"/>
            <w:gridSpan w:val="25"/>
            <w:vAlign w:val="center"/>
          </w:tcPr>
          <w:p w14:paraId="153B2854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5F1100" w:rsidRPr="00240D6B" w14:paraId="10EE9852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660FF97A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DE29D28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70-80</w:t>
            </w:r>
          </w:p>
        </w:tc>
        <w:tc>
          <w:tcPr>
            <w:tcW w:w="6391" w:type="dxa"/>
            <w:gridSpan w:val="25"/>
            <w:vAlign w:val="center"/>
          </w:tcPr>
          <w:p w14:paraId="49B3C738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5F1100" w:rsidRPr="00240D6B" w14:paraId="4C8E279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2C5647A0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50683B2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391" w:type="dxa"/>
            <w:gridSpan w:val="25"/>
            <w:vAlign w:val="center"/>
          </w:tcPr>
          <w:p w14:paraId="65F6EA7A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5F1100" w:rsidRPr="00240D6B" w14:paraId="7373064B" w14:textId="77777777" w:rsidTr="002442B6">
        <w:trPr>
          <w:gridAfter w:val="1"/>
          <w:wAfter w:w="2027" w:type="dxa"/>
        </w:trPr>
        <w:tc>
          <w:tcPr>
            <w:tcW w:w="1798" w:type="dxa"/>
            <w:vMerge/>
            <w:shd w:val="clear" w:color="auto" w:fill="F2F2F2" w:themeFill="background1" w:themeFillShade="F2"/>
          </w:tcPr>
          <w:p w14:paraId="0492449F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7A5F3D08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391" w:type="dxa"/>
            <w:gridSpan w:val="25"/>
            <w:vAlign w:val="center"/>
          </w:tcPr>
          <w:p w14:paraId="32B561BB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5F1100" w:rsidRPr="00240D6B" w14:paraId="0BB08489" w14:textId="77777777" w:rsidTr="002442B6">
        <w:trPr>
          <w:gridAfter w:val="1"/>
          <w:wAfter w:w="2027" w:type="dxa"/>
        </w:trPr>
        <w:tc>
          <w:tcPr>
            <w:tcW w:w="1798" w:type="dxa"/>
            <w:shd w:val="clear" w:color="auto" w:fill="F2F2F2" w:themeFill="background1" w:themeFillShade="F2"/>
          </w:tcPr>
          <w:p w14:paraId="1EC55067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2AA3B4A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7B13E61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55B2E76E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4B6538C8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054037FC" w14:textId="77777777" w:rsidR="005F1100" w:rsidRPr="00240D6B" w:rsidRDefault="00125EF1" w:rsidP="005F11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00" w:rsidRPr="00240D6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1100" w:rsidRPr="00240D6B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5F1100" w:rsidRPr="00240D6B" w14:paraId="73CC3CD0" w14:textId="77777777" w:rsidTr="00736539">
        <w:trPr>
          <w:gridAfter w:val="1"/>
          <w:wAfter w:w="2027" w:type="dxa"/>
          <w:trHeight w:val="6372"/>
        </w:trPr>
        <w:tc>
          <w:tcPr>
            <w:tcW w:w="1798" w:type="dxa"/>
            <w:shd w:val="clear" w:color="auto" w:fill="F2F2F2" w:themeFill="background1" w:themeFillShade="F2"/>
          </w:tcPr>
          <w:p w14:paraId="0DD921E9" w14:textId="77777777" w:rsidR="005F1100" w:rsidRPr="00240D6B" w:rsidRDefault="005F1100" w:rsidP="005F11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40D6B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DF6AC94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240D6B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B4787CD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240D6B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40D6B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62319BBD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4307A74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2D670FB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7B939E8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240D6B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07EF4257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00D0BAE8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29F0BB4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0A90E5CA" w14:textId="77777777" w:rsidR="005F1100" w:rsidRPr="00240D6B" w:rsidRDefault="005F1100" w:rsidP="005F11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D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  <w:bookmarkEnd w:id="0"/>
    </w:tbl>
    <w:p w14:paraId="7D45EDDF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858AB" w14:textId="77777777" w:rsidR="00125EF1" w:rsidRDefault="00125EF1" w:rsidP="009947BA">
      <w:pPr>
        <w:spacing w:before="0" w:after="0"/>
      </w:pPr>
      <w:r>
        <w:separator/>
      </w:r>
    </w:p>
  </w:endnote>
  <w:endnote w:type="continuationSeparator" w:id="0">
    <w:p w14:paraId="037C1436" w14:textId="77777777" w:rsidR="00125EF1" w:rsidRDefault="00125EF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E0ED5" w14:textId="77777777" w:rsidR="00125EF1" w:rsidRDefault="00125EF1" w:rsidP="009947BA">
      <w:pPr>
        <w:spacing w:before="0" w:after="0"/>
      </w:pPr>
      <w:r>
        <w:separator/>
      </w:r>
    </w:p>
  </w:footnote>
  <w:footnote w:type="continuationSeparator" w:id="0">
    <w:p w14:paraId="699E34DD" w14:textId="77777777" w:rsidR="00125EF1" w:rsidRDefault="00125EF1" w:rsidP="009947BA">
      <w:pPr>
        <w:spacing w:before="0" w:after="0"/>
      </w:pPr>
      <w:r>
        <w:continuationSeparator/>
      </w:r>
    </w:p>
  </w:footnote>
  <w:footnote w:id="1">
    <w:p w14:paraId="78E04C11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9E46" w14:textId="6E233D39" w:rsidR="00240D6B" w:rsidRDefault="00240D6B" w:rsidP="00240D6B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5ADDA" wp14:editId="3C0D87E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4B146" w14:textId="603116A1" w:rsidR="00240D6B" w:rsidRDefault="00240D6B" w:rsidP="00240D6B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6E4B4B4D" wp14:editId="5054CC5E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5ADDA"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994B146" w14:textId="603116A1" w:rsidR="00240D6B" w:rsidRDefault="00240D6B" w:rsidP="00240D6B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6E4B4B4D" wp14:editId="5054CC5E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401C716" w14:textId="77777777" w:rsidR="00240D6B" w:rsidRDefault="00240D6B" w:rsidP="00240D6B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14:paraId="6C803B52" w14:textId="77777777" w:rsidR="0079745E" w:rsidRDefault="0079745E" w:rsidP="0079745E">
    <w:pPr>
      <w:pStyle w:val="Header"/>
    </w:pPr>
  </w:p>
  <w:p w14:paraId="0E70B3C0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A2"/>
    <w:multiLevelType w:val="hybridMultilevel"/>
    <w:tmpl w:val="5770BCE4"/>
    <w:lvl w:ilvl="0" w:tplc="118C7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D60"/>
    <w:multiLevelType w:val="hybridMultilevel"/>
    <w:tmpl w:val="D83CF5FE"/>
    <w:lvl w:ilvl="0" w:tplc="7FDCAFE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1157"/>
    <w:multiLevelType w:val="hybridMultilevel"/>
    <w:tmpl w:val="5DB08D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5516"/>
    <w:multiLevelType w:val="hybridMultilevel"/>
    <w:tmpl w:val="315CFE3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44D"/>
    <w:multiLevelType w:val="hybridMultilevel"/>
    <w:tmpl w:val="D69A8FCA"/>
    <w:lvl w:ilvl="0" w:tplc="D8C6D5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B5A28"/>
    <w:multiLevelType w:val="hybridMultilevel"/>
    <w:tmpl w:val="DDCC7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574B"/>
    <w:rsid w:val="00067DDD"/>
    <w:rsid w:val="000A790E"/>
    <w:rsid w:val="000B0927"/>
    <w:rsid w:val="000C0578"/>
    <w:rsid w:val="0010332B"/>
    <w:rsid w:val="00125EF1"/>
    <w:rsid w:val="0012793A"/>
    <w:rsid w:val="00134627"/>
    <w:rsid w:val="001443A2"/>
    <w:rsid w:val="00150B32"/>
    <w:rsid w:val="00156BCF"/>
    <w:rsid w:val="00197510"/>
    <w:rsid w:val="001A41A2"/>
    <w:rsid w:val="001C3D25"/>
    <w:rsid w:val="0022722C"/>
    <w:rsid w:val="00240D6B"/>
    <w:rsid w:val="002442B6"/>
    <w:rsid w:val="0028545A"/>
    <w:rsid w:val="00285C6C"/>
    <w:rsid w:val="002A4DFE"/>
    <w:rsid w:val="002D1DDF"/>
    <w:rsid w:val="002E1CE6"/>
    <w:rsid w:val="002F1DBD"/>
    <w:rsid w:val="002F2D22"/>
    <w:rsid w:val="00326091"/>
    <w:rsid w:val="00335948"/>
    <w:rsid w:val="00357241"/>
    <w:rsid w:val="00357643"/>
    <w:rsid w:val="00371634"/>
    <w:rsid w:val="00386E9C"/>
    <w:rsid w:val="00391063"/>
    <w:rsid w:val="00393964"/>
    <w:rsid w:val="003A3E41"/>
    <w:rsid w:val="003A3FA8"/>
    <w:rsid w:val="003E09EF"/>
    <w:rsid w:val="003E37FC"/>
    <w:rsid w:val="003F11B6"/>
    <w:rsid w:val="003F17B8"/>
    <w:rsid w:val="004002DE"/>
    <w:rsid w:val="00434A5D"/>
    <w:rsid w:val="00453362"/>
    <w:rsid w:val="00461219"/>
    <w:rsid w:val="00470F6D"/>
    <w:rsid w:val="00483BC3"/>
    <w:rsid w:val="00486DE0"/>
    <w:rsid w:val="004923F4"/>
    <w:rsid w:val="00497DDC"/>
    <w:rsid w:val="004B553E"/>
    <w:rsid w:val="004F2587"/>
    <w:rsid w:val="00520E2D"/>
    <w:rsid w:val="00524A7C"/>
    <w:rsid w:val="005353ED"/>
    <w:rsid w:val="005514C3"/>
    <w:rsid w:val="005C0D9D"/>
    <w:rsid w:val="005D3518"/>
    <w:rsid w:val="005E1668"/>
    <w:rsid w:val="005F1100"/>
    <w:rsid w:val="005F6E0B"/>
    <w:rsid w:val="005F73E8"/>
    <w:rsid w:val="006103D3"/>
    <w:rsid w:val="0062328F"/>
    <w:rsid w:val="00684BBC"/>
    <w:rsid w:val="006B4920"/>
    <w:rsid w:val="006B5F47"/>
    <w:rsid w:val="006E6E60"/>
    <w:rsid w:val="00700D7A"/>
    <w:rsid w:val="007059CE"/>
    <w:rsid w:val="007361E7"/>
    <w:rsid w:val="00736539"/>
    <w:rsid w:val="007368EB"/>
    <w:rsid w:val="007631E5"/>
    <w:rsid w:val="0078125F"/>
    <w:rsid w:val="0078296A"/>
    <w:rsid w:val="00785CAA"/>
    <w:rsid w:val="00794496"/>
    <w:rsid w:val="007967CC"/>
    <w:rsid w:val="0079745E"/>
    <w:rsid w:val="00797B40"/>
    <w:rsid w:val="007C43A4"/>
    <w:rsid w:val="007C602E"/>
    <w:rsid w:val="007D2861"/>
    <w:rsid w:val="007D4D2D"/>
    <w:rsid w:val="00865776"/>
    <w:rsid w:val="00872856"/>
    <w:rsid w:val="00874D5D"/>
    <w:rsid w:val="00891C60"/>
    <w:rsid w:val="008942F0"/>
    <w:rsid w:val="008A3541"/>
    <w:rsid w:val="008D45DB"/>
    <w:rsid w:val="0090214F"/>
    <w:rsid w:val="00913508"/>
    <w:rsid w:val="009163E6"/>
    <w:rsid w:val="009435E6"/>
    <w:rsid w:val="009760E8"/>
    <w:rsid w:val="00992C53"/>
    <w:rsid w:val="009947BA"/>
    <w:rsid w:val="00997F41"/>
    <w:rsid w:val="009A284F"/>
    <w:rsid w:val="009A6816"/>
    <w:rsid w:val="009C56B1"/>
    <w:rsid w:val="009C7D3B"/>
    <w:rsid w:val="009D5226"/>
    <w:rsid w:val="009E2FD4"/>
    <w:rsid w:val="009F29DB"/>
    <w:rsid w:val="009F4A05"/>
    <w:rsid w:val="00A445D4"/>
    <w:rsid w:val="00A46ADD"/>
    <w:rsid w:val="00A727A4"/>
    <w:rsid w:val="00A9132B"/>
    <w:rsid w:val="00AA1A5A"/>
    <w:rsid w:val="00AA7F9A"/>
    <w:rsid w:val="00AB6D1C"/>
    <w:rsid w:val="00AC7132"/>
    <w:rsid w:val="00AD23FB"/>
    <w:rsid w:val="00B013D8"/>
    <w:rsid w:val="00B07EDC"/>
    <w:rsid w:val="00B20A55"/>
    <w:rsid w:val="00B268D7"/>
    <w:rsid w:val="00B4202A"/>
    <w:rsid w:val="00B43417"/>
    <w:rsid w:val="00B45ABD"/>
    <w:rsid w:val="00B57E5F"/>
    <w:rsid w:val="00B612F8"/>
    <w:rsid w:val="00B71A57"/>
    <w:rsid w:val="00B7307A"/>
    <w:rsid w:val="00BA48FB"/>
    <w:rsid w:val="00BF24B4"/>
    <w:rsid w:val="00BF3D81"/>
    <w:rsid w:val="00C02454"/>
    <w:rsid w:val="00C040A4"/>
    <w:rsid w:val="00C04F42"/>
    <w:rsid w:val="00C3477B"/>
    <w:rsid w:val="00C85956"/>
    <w:rsid w:val="00C909D9"/>
    <w:rsid w:val="00C92D7C"/>
    <w:rsid w:val="00C9733D"/>
    <w:rsid w:val="00CA3783"/>
    <w:rsid w:val="00CB12B4"/>
    <w:rsid w:val="00CB23F4"/>
    <w:rsid w:val="00CD218C"/>
    <w:rsid w:val="00CF5EFB"/>
    <w:rsid w:val="00D136E4"/>
    <w:rsid w:val="00D43813"/>
    <w:rsid w:val="00D5334D"/>
    <w:rsid w:val="00D5523D"/>
    <w:rsid w:val="00D70BA8"/>
    <w:rsid w:val="00D944DF"/>
    <w:rsid w:val="00DA7F82"/>
    <w:rsid w:val="00DC5B9C"/>
    <w:rsid w:val="00DD110C"/>
    <w:rsid w:val="00DE6D53"/>
    <w:rsid w:val="00E06E39"/>
    <w:rsid w:val="00E07D73"/>
    <w:rsid w:val="00E1382D"/>
    <w:rsid w:val="00E17D18"/>
    <w:rsid w:val="00E30E67"/>
    <w:rsid w:val="00E84791"/>
    <w:rsid w:val="00E92D6A"/>
    <w:rsid w:val="00EC5E33"/>
    <w:rsid w:val="00ED6895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231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86D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4">
    <w:name w:val="WW8Num2z4"/>
    <w:rsid w:val="009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ca.bnf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cecultur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hman.edu/deanhum/langlit/french/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eurs.contemporain.info/doku.php/accue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8C8D-C80A-44AF-A3FE-D423CCDB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mbahnik@unizd.hr</cp:lastModifiedBy>
  <cp:revision>2</cp:revision>
  <dcterms:created xsi:type="dcterms:W3CDTF">2022-09-30T07:27:00Z</dcterms:created>
  <dcterms:modified xsi:type="dcterms:W3CDTF">2022-09-30T07:27:00Z</dcterms:modified>
</cp:coreProperties>
</file>