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DC" w:rsidRDefault="009271DC">
      <w:pPr>
        <w:pStyle w:val="Standard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271DC" w:rsidRDefault="00CF5B2B">
      <w:pPr>
        <w:pStyle w:val="Standard"/>
        <w:jc w:val="center"/>
      </w:pPr>
      <w:r>
        <w:rPr>
          <w:rFonts w:ascii="Merriweather" w:hAnsi="Merriweather" w:cs="Times New Roman"/>
          <w:b/>
          <w:sz w:val="18"/>
          <w:szCs w:val="18"/>
        </w:rPr>
        <w:t>Izvedbeni plan nastave (</w:t>
      </w:r>
      <w:r>
        <w:rPr>
          <w:rFonts w:ascii="Merriweather" w:hAnsi="Merriweather" w:cs="Times New Roman"/>
          <w:b/>
          <w:i/>
          <w:sz w:val="18"/>
          <w:szCs w:val="18"/>
        </w:rPr>
        <w:t>syllabus</w:t>
      </w:r>
      <w:r>
        <w:rPr>
          <w:rFonts w:ascii="Merriweather" w:hAnsi="Merriweather" w:cs="Times New Roman"/>
          <w:b/>
          <w:sz w:val="18"/>
          <w:szCs w:val="18"/>
        </w:rPr>
        <w:t>)</w:t>
      </w:r>
      <w:r>
        <w:rPr>
          <w:rStyle w:val="FootnoteReference"/>
          <w:rFonts w:ascii="Merriweather" w:hAnsi="Merriweather"/>
          <w:sz w:val="18"/>
          <w:szCs w:val="18"/>
        </w:rPr>
        <w:footnoteReference w:customMarkFollows="1" w:id="1"/>
        <w:t>*</w:t>
      </w:r>
    </w:p>
    <w:tbl>
      <w:tblPr>
        <w:tblW w:w="102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445"/>
        <w:gridCol w:w="444"/>
        <w:gridCol w:w="322"/>
        <w:gridCol w:w="35"/>
        <w:gridCol w:w="87"/>
        <w:gridCol w:w="237"/>
        <w:gridCol w:w="128"/>
        <w:gridCol w:w="78"/>
        <w:gridCol w:w="187"/>
        <w:gridCol w:w="258"/>
        <w:gridCol w:w="141"/>
        <w:gridCol w:w="305"/>
        <w:gridCol w:w="495"/>
        <w:gridCol w:w="129"/>
        <w:gridCol w:w="102"/>
        <w:gridCol w:w="302"/>
        <w:gridCol w:w="422"/>
        <w:gridCol w:w="348"/>
        <w:gridCol w:w="64"/>
        <w:gridCol w:w="554"/>
        <w:gridCol w:w="98"/>
        <w:gridCol w:w="384"/>
        <w:gridCol w:w="514"/>
        <w:gridCol w:w="429"/>
        <w:gridCol w:w="23"/>
        <w:gridCol w:w="213"/>
        <w:gridCol w:w="276"/>
        <w:gridCol w:w="951"/>
        <w:gridCol w:w="270"/>
      </w:tblGrid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Nziv kolegija</w:t>
            </w:r>
          </w:p>
        </w:tc>
        <w:tc>
          <w:tcPr>
            <w:tcW w:w="518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Analiza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francuskih književnih tekstova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akad. god.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2023./2024.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Naziv studija</w:t>
            </w:r>
          </w:p>
        </w:tc>
        <w:tc>
          <w:tcPr>
            <w:tcW w:w="518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Sveučilišni preddiplomski studij francuskog jezika i književnosti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ECTS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Sastavnica</w:t>
            </w:r>
          </w:p>
        </w:tc>
        <w:tc>
          <w:tcPr>
            <w:tcW w:w="797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Odjel za francuske i frankofonske studije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Razina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preddiplomski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diplomski</w:t>
            </w:r>
          </w:p>
        </w:tc>
        <w:tc>
          <w:tcPr>
            <w:tcW w:w="1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integrirani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poslijediplomski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Vrsta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jednopredmetni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dvopredmetni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sveučilišni</w:t>
            </w:r>
          </w:p>
        </w:tc>
        <w:tc>
          <w:tcPr>
            <w:tcW w:w="1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stručni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specijalistički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Godina studija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1.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3.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4.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5.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Semestar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zimski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ljetni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II.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III.</w:t>
            </w:r>
          </w:p>
        </w:tc>
        <w:tc>
          <w:tcPr>
            <w:tcW w:w="1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IV.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VII.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VIII.</w:t>
            </w:r>
          </w:p>
        </w:tc>
        <w:tc>
          <w:tcPr>
            <w:tcW w:w="1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IX.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Status </w:t>
            </w: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kolegija</w:t>
            </w: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obvezni kolegij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izborni kolegij</w:t>
            </w:r>
          </w:p>
        </w:tc>
        <w:tc>
          <w:tcPr>
            <w:tcW w:w="28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 koji se nudi studentima drugih odjela</w:t>
            </w:r>
          </w:p>
        </w:tc>
        <w:tc>
          <w:tcPr>
            <w:tcW w:w="1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Nastavničke kompetencije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NE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Opterećenje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Mrežne stranice kolegija u sustavu za e-učenje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NE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Mjesto i vrijeme izvođenja </w:t>
            </w: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SK-155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Jezik/jezici na kojima se izvodi kolegij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Francuski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Francuski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Početak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6.10.2022.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right"/>
            </w:pPr>
            <w:r>
              <w:rPr>
                <w:rFonts w:ascii="Merriweather" w:hAnsi="Merriweather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Završetak nastave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26.01.2023.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23.01.2020.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Preduvjeti za upis kolegija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Završena prva godina ili parcijalno upisana druga godina PDS-a francuskog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jezika i književnosti.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Nositelj kolegija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Četvrtkom od 16h do 18h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Izvođač kolegija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Četvrtkom od 16h do 18h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8563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Vrste izvođenja nastave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predavanja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seminari i radionice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vježbe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samostalni zadaci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multimedija i mreža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laboratorij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lastRenderedPageBreak/>
              <w:t>Ishodi učenja kolegija</w:t>
            </w:r>
          </w:p>
        </w:tc>
        <w:tc>
          <w:tcPr>
            <w:tcW w:w="483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2820"/>
              </w:tabs>
              <w:spacing w:before="0" w:after="0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 xml:space="preserve">-navesti definicije </w:t>
            </w: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specifične za analizu književnih tekstova na francuskom jeziku</w:t>
            </w:r>
          </w:p>
          <w:p w:rsidR="009271DC" w:rsidRDefault="00CF5B2B">
            <w:pPr>
              <w:pStyle w:val="Standard"/>
              <w:tabs>
                <w:tab w:val="left" w:pos="2820"/>
              </w:tabs>
              <w:spacing w:before="0" w:after="0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-analizirati stilska obilježja odabranih francuskih književnih tekstova</w:t>
            </w:r>
          </w:p>
          <w:p w:rsidR="009271DC" w:rsidRDefault="00CF5B2B">
            <w:pPr>
              <w:pStyle w:val="Standard"/>
              <w:tabs>
                <w:tab w:val="left" w:pos="2820"/>
              </w:tabs>
              <w:spacing w:before="0" w:after="0"/>
              <w:jc w:val="both"/>
            </w:pPr>
            <w:r>
              <w:fldChar w:fldCharType="begin"/>
            </w:r>
            <w:r>
              <w:instrText xml:space="preserve"> FILLIN "Text1"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-objasniti metodološki postupak analize književnog teksta</w:t>
            </w:r>
          </w:p>
          <w:p w:rsidR="009271DC" w:rsidRDefault="00CF5B2B">
            <w:pPr>
              <w:pStyle w:val="Standard"/>
              <w:tabs>
                <w:tab w:val="left" w:pos="2820"/>
              </w:tabs>
              <w:spacing w:before="0" w:after="0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-primijeniti i tumačiti kardinalne pojmove a</w:t>
            </w: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nalize francuskih književnih tekstova</w:t>
            </w:r>
          </w:p>
          <w:p w:rsidR="009271DC" w:rsidRDefault="00CF5B2B">
            <w:pPr>
              <w:pStyle w:val="Standard"/>
              <w:tabs>
                <w:tab w:val="left" w:pos="2820"/>
              </w:tabs>
              <w:spacing w:before="0" w:after="0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-navesti i izložiti značajke metodičkog iščitavanja teksta (tema, plan, struktura teksta)</w:t>
            </w:r>
          </w:p>
          <w:p w:rsidR="009271DC" w:rsidRDefault="00CF5B2B">
            <w:pPr>
              <w:pStyle w:val="Standard"/>
              <w:tabs>
                <w:tab w:val="left" w:pos="2820"/>
              </w:tabs>
              <w:spacing w:before="0" w:after="0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 xml:space="preserve">-analizirati estetska, strukturna i poetička obilježja odabranih ulomaka iz reprezentativnih književnih tekstova francuskih </w:t>
            </w: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 xml:space="preserve">pisaca 19. i 20. stoljeća  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Ishodi učenja na razini programa kojima kolegij doprinosi</w:t>
            </w:r>
          </w:p>
        </w:tc>
        <w:tc>
          <w:tcPr>
            <w:tcW w:w="483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- razlikovati i usporediti književne epohe, razdoblja, pravce, pokrete i škole francuske književnosti, od srednjovjekovnoga razdoblja do suvremenosti ; kritički uspore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diti i prezentirati stečena znanja, iskustva i argumente te donositi zaključke o njima; samostalno čitati stručne, znanstvene i književne tekstove i razumjeti stručne pojmove; primijeniti različite metodologije čitanja i tumačenja književnih tekstova.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Načini praćenja studenata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pohađanje nastave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priprema za nastavu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domaće zadaće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kontinuirana evaluacija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praktični rad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seminarski rad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izlaganje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kolokvij(i)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pismeni ispit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usmeni ispit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Uvjeti pristupanja ispitu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Za pristupanje ispitu studenti su dužni: aktivno sudjelovati u seminarskom dijelu izvođenja nastave; pripremiti dijelove iz analiziranih tekstova na razini </w:t>
            </w:r>
            <w:r>
              <w:rPr>
                <w:rFonts w:ascii="Merriweather" w:eastAsia="MS Gothic" w:hAnsi="Merriweather" w:cs="Century Gothic"/>
                <w:bCs/>
                <w:sz w:val="18"/>
                <w:szCs w:val="18"/>
                <w:shd w:val="clear" w:color="auto" w:fill="FFFFFF"/>
              </w:rPr>
              <w:t>č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itanja s razumijevanjem koje je nastavnik studentu zadao na prethodnom pr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edavanju.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Ispitni rokovi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zimski ispitni rok</w:t>
            </w:r>
          </w:p>
        </w:tc>
        <w:tc>
          <w:tcPr>
            <w:tcW w:w="27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ljetni ispitni rok</w:t>
            </w:r>
          </w:p>
        </w:tc>
        <w:tc>
          <w:tcPr>
            <w:tcW w:w="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jesenski ispitni rok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Termini ispitnih rokova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2.02.2023.-16.02.2023.</w:t>
            </w:r>
          </w:p>
        </w:tc>
        <w:tc>
          <w:tcPr>
            <w:tcW w:w="27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08.09.2023.-22.09.2023.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Opis kolegija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Textbodyindent"/>
              <w:tabs>
                <w:tab w:val="left" w:pos="1218"/>
              </w:tabs>
              <w:snapToGrid w:val="0"/>
              <w:spacing w:before="0" w:after="0"/>
              <w:ind w:left="0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hr-HR"/>
              </w:rPr>
              <w:t xml:space="preserve">Izvedba analize odabranih književnih tekstova iz reprezentativnih djela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hr-HR"/>
              </w:rPr>
              <w:t xml:space="preserve">pojedinih književnih vrsta neovisno o razdobljima u kojima su nastali: raščlanjivanje, pomoću analitičkog rječnika, književnih i lingvističkih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hr-HR"/>
              </w:rPr>
              <w:lastRenderedPageBreak/>
              <w:t>elementa korisnih u tumačenju teksta. Metodičko iščitavanje teksta (tema, plan i struktura teksta, značenje i jez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hr-HR"/>
              </w:rPr>
              <w:t>ični registar pojedinih dijelova, književno-povijesna vrijednost teksta) zahtijeva aktivno sudjelovanje studenta u analitičkom postupku s ciljem stjecanja kritičkog pristupa književnom tekstu. Na završetku svake obrađene jedinice donosi se zaključak o anal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hr-HR"/>
              </w:rPr>
              <w:t>iziranom tekstu, koji treba ispuniti funkciju sinteze i otvorenosti.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Sadržaj kolegija (nastavne teme)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Introduction à l’analyse littéraire d’un texte : observation du texte dans sa totalité, ses thèmes, ses effets structurants ; analyse grammaticale,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lexicale, stylistique.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Lexique de l’analyse littéraire-notions essentielles.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ascii="Merriweather" w:eastAsia="MS Gothic" w:hAnsi="Merriweather" w:cs="Century Gothic"/>
                <w:bCs/>
                <w:sz w:val="18"/>
                <w:szCs w:val="18"/>
                <w:shd w:val="clear" w:color="auto" w:fill="FFFFFF"/>
              </w:rPr>
              <w:t>Lecture méthodique d’un texte : a)situation et sujet (ou thème) du texte ; b) plan ou composition du texte.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 xml:space="preserve">Application  à 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un texte romanesque : François Mauriac,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Thérèse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Desqueyroux,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1927.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Merriweather" w:eastAsia="MS Gothic" w:hAnsi="Merriweather" w:cs="Century Gothic"/>
                <w:bCs/>
                <w:sz w:val="18"/>
                <w:szCs w:val="18"/>
                <w:shd w:val="clear" w:color="auto" w:fill="FFFFFF"/>
              </w:rPr>
              <w:t xml:space="preserve">Lecture méthodique d’un texte  (suite): 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>c) étude des mouvements successifs du texte (sens et langage) ; d) conclusion sur les aspects principaux et l’intérêt du texte.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 xml:space="preserve">Application  à 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un texte romanesque : François Mauriac,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Thérèse De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squeyroux,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1927.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 genre  romanesque ; technique du roman : modalité du récit, schéma narratif, action/intrigue, mouvement/dynamique du texte, valeur dramatique, moyens narratifs / procédés d’écriture, peinture de la société/ des mœurs, écriture / s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tyle. Texte proposé : George Sand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, Mauprat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, 1837.</w:t>
            </w:r>
          </w:p>
          <w:p w:rsidR="009271DC" w:rsidRDefault="009271DC">
            <w:pPr>
              <w:pStyle w:val="Standard"/>
              <w:tabs>
                <w:tab w:val="left" w:pos="468"/>
              </w:tabs>
              <w:snapToGrid w:val="0"/>
              <w:spacing w:before="0" w:after="200"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200" w:line="276" w:lineRule="auto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Texte polémique  qui critique et propose.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La naissance du naturalisme. </w:t>
            </w: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>Texte proposé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 xml:space="preserve"> :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Jules et Edmond de Goncourt,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Préface de Germinie Lacerteux,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1865.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200" w:line="276" w:lineRule="auto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Une préface-manifeste : critique du roman à la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 mode ; le peuple a droit au roman ; ce que doit être le roman. </w:t>
            </w: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>Texte proposé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 xml:space="preserve"> :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Jules et Edmond de Goncourt,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Préface de Germinie Lacerteux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,1865.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200" w:line="276" w:lineRule="auto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7.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Le naturalisme zolien : un espace symbolique de la condition ouvrière. Texte proposé : Émile Zola,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Germinal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(1885). Première partie, chapitre 1.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8.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Le naturalisme zolien (suite). Texte proposé : Émile Zola,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Germinal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 (1885). Première partie, chapitre 1.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9.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Le XXe siècle : l´exploration infinie du récit ;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La coexistence des formes romanesques divergentes.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Tableau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 chronologique.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10.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 XXe siècle : l´exploration infinie du récit (suite).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Texte proposé : Louis Ferdinand Céline,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Voyage au bout de la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nuit ,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1932.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11.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 XXe siècle : l´exploration infinie du récit (suite)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bCs/>
                <w:iCs/>
                <w:sz w:val="18"/>
                <w:szCs w:val="18"/>
                <w:shd w:val="clear" w:color="auto" w:fill="FFFFFF"/>
              </w:rPr>
              <w:t xml:space="preserve">Texte proposé : Georges Bernanos :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>Journal d´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>un curé de campagne</w:t>
            </w: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>, 1936.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12.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 XXe siècle : l´exploration infinie du récit (suite).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 xml:space="preserve">Texte proposé : Georges Bernanos :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>Journal d´un curé de campagne</w:t>
            </w:r>
            <w:r>
              <w:rPr>
                <w:rFonts w:ascii="Merriweather" w:eastAsia="MS Gothic" w:hAnsi="Merriweather" w:cs="Century Gothic"/>
                <w:iCs/>
                <w:sz w:val="18"/>
                <w:szCs w:val="18"/>
                <w:shd w:val="clear" w:color="auto" w:fill="FFFFFF"/>
              </w:rPr>
              <w:t>, 1936.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13.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 XXe siècle : l´exploration infinie du récit (suite).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Texte proposé : Albert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Camus,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L´</w:t>
            </w:r>
            <w:r>
              <w:rPr>
                <w:rFonts w:ascii="Merriweather" w:eastAsia="Calibri" w:hAnsi="Merriweather" w:cs="Segoe UI"/>
                <w:i/>
                <w:sz w:val="18"/>
                <w:szCs w:val="18"/>
                <w:shd w:val="clear" w:color="auto" w:fill="FFFFFF"/>
              </w:rPr>
              <w:t xml:space="preserve">Étranger, </w:t>
            </w:r>
            <w:r>
              <w:rPr>
                <w:rFonts w:ascii="Merriweather" w:eastAsia="Calibri" w:hAnsi="Merriweather" w:cs="Segoe UI"/>
                <w:sz w:val="18"/>
                <w:szCs w:val="18"/>
                <w:shd w:val="clear" w:color="auto" w:fill="FFFFFF"/>
              </w:rPr>
              <w:t>1942.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20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14.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>Le XXe siècle : l´exploration infinie du récit (suite). Texte proposé : Albert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Camus, </w:t>
            </w:r>
            <w:r>
              <w:rPr>
                <w:rFonts w:ascii="Merriweather" w:eastAsia="MS Gothic" w:hAnsi="Merriweather" w:cs="Century Gothic"/>
                <w:i/>
                <w:sz w:val="18"/>
                <w:szCs w:val="18"/>
                <w:shd w:val="clear" w:color="auto" w:fill="FFFFFF"/>
              </w:rPr>
              <w:t>Les Justes</w:t>
            </w:r>
            <w:r>
              <w:rPr>
                <w:rFonts w:ascii="Merriweather" w:eastAsia="Calibri" w:hAnsi="Merriweather" w:cs="Segoe UI"/>
                <w:i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Merriweather" w:eastAsia="Calibri" w:hAnsi="Merriweather" w:cs="Segoe UI"/>
                <w:sz w:val="18"/>
                <w:szCs w:val="18"/>
                <w:shd w:val="clear" w:color="auto" w:fill="FFFFFF"/>
              </w:rPr>
              <w:t>1949.</w:t>
            </w:r>
          </w:p>
          <w:p w:rsidR="009271DC" w:rsidRDefault="00CF5B2B">
            <w:pPr>
              <w:pStyle w:val="Standard"/>
              <w:tabs>
                <w:tab w:val="left" w:pos="468"/>
              </w:tabs>
              <w:snapToGrid w:val="0"/>
              <w:spacing w:before="0" w:after="20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15. 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  <w:t xml:space="preserve">Le XXe siècle : l´exploration infinie du récit (suite). Texte proposé : Jean-Paul Sartre :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>Huit clos</w:t>
            </w:r>
            <w:r>
              <w:rPr>
                <w:rFonts w:ascii="Merriweather" w:eastAsia="Calibri" w:hAnsi="Merriweather" w:cs="Century Gothic"/>
                <w:i/>
                <w:iCs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Merriweather" w:eastAsia="Calibri" w:hAnsi="Merriweather" w:cs="Century Gothic"/>
                <w:sz w:val="18"/>
                <w:szCs w:val="18"/>
                <w:shd w:val="clear" w:color="auto" w:fill="FFFFFF"/>
              </w:rPr>
              <w:t>1944.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Obvezna </w:t>
            </w: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literatura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napToGrid w:val="0"/>
              <w:spacing w:before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 xml:space="preserve"> Paul Renard (dir.) :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  <w:lang w:val="pt-PT"/>
              </w:rPr>
              <w:t xml:space="preserve"> L’explication de textes littéraires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>, Ellipses, 1996.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Dodatna literatura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napToGrid w:val="0"/>
              <w:spacing w:before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 xml:space="preserve">Daniel Bergez – Violaine Géraud – Jean-Jacques Robrieux: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  <w:lang w:val="pt-PT"/>
              </w:rPr>
              <w:t>Vocabulaire de l’Analyse littéraire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>, Dunod, 1994.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napToGrid w:val="0"/>
              <w:spacing w:before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 xml:space="preserve">Evelyne Amon, Yves Bomati: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  <w:lang w:val="pt-PT"/>
              </w:rPr>
              <w:t xml:space="preserve">Vocabulaire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  <w:lang w:val="pt-PT"/>
              </w:rPr>
              <w:t>pour la dissertation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>, Larousse, 1995.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napToGrid w:val="0"/>
              <w:spacing w:before="0"/>
              <w:jc w:val="both"/>
            </w:pP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 xml:space="preserve">Catherine Thiollet, </w:t>
            </w:r>
            <w:r>
              <w:rPr>
                <w:rFonts w:ascii="Merriweather" w:eastAsia="MS Gothic" w:hAnsi="Merriweather" w:cs="Century Gothic"/>
                <w:i/>
                <w:iCs/>
                <w:sz w:val="18"/>
                <w:szCs w:val="18"/>
                <w:shd w:val="clear" w:color="auto" w:fill="FFFFFF"/>
                <w:lang w:val="pt-PT"/>
              </w:rPr>
              <w:t>Le commentaire composé</w:t>
            </w:r>
            <w:r>
              <w:rPr>
                <w:rFonts w:ascii="Merriweather" w:eastAsia="MS Gothic" w:hAnsi="Merriweather" w:cs="Century Gothic"/>
                <w:sz w:val="18"/>
                <w:szCs w:val="18"/>
                <w:shd w:val="clear" w:color="auto" w:fill="FFFFFF"/>
                <w:lang w:val="pt-PT"/>
              </w:rPr>
              <w:t>, Ellipses, 1996.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Provjera ishoda učenja (prema uputama AZVO)</w:t>
            </w:r>
          </w:p>
        </w:tc>
        <w:tc>
          <w:tcPr>
            <w:tcW w:w="650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završni ispit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9271DC" w:rsidRDefault="00CF5B2B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ispit</w:t>
            </w:r>
          </w:p>
        </w:tc>
        <w:tc>
          <w:tcPr>
            <w:tcW w:w="2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9271DC" w:rsidRDefault="00CF5B2B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usmeni ispit</w:t>
            </w:r>
          </w:p>
        </w:tc>
        <w:tc>
          <w:tcPr>
            <w:tcW w:w="20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 usmeni završni ispit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  <w:tc>
          <w:tcPr>
            <w:tcW w:w="122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kolokvij/zadaće</w:t>
            </w:r>
          </w:p>
        </w:tc>
        <w:tc>
          <w:tcPr>
            <w:tcW w:w="1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kolokvij / zadaća i završni ispit</w:t>
            </w: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9271DC" w:rsidRDefault="00CF5B2B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rad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9271DC" w:rsidRDefault="00CF5B2B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rad i završni ispit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 formiranja završne ocjene (%)</w:t>
            </w:r>
          </w:p>
        </w:tc>
        <w:tc>
          <w:tcPr>
            <w:tcW w:w="6531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Kontinuirana evaluacija sudjelovanja u postupku književne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analize tijekom nastave: 50 %, usmeni dio ispita 50 %.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lastRenderedPageBreak/>
              <w:t>Ocjenjivanje</w:t>
            </w:r>
          </w:p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/upisati postotak ili broj bodova za elemente koji se ocjenjuju/</w:t>
            </w: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nedovoljan (1)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dovoljan (2)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dobar (3)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vrlo dobar (4)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9271DC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izvrstan (5)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Način praćenja </w:t>
            </w: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kvalitete</w:t>
            </w:r>
          </w:p>
        </w:tc>
        <w:tc>
          <w:tcPr>
            <w:tcW w:w="797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Sveučilišta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sastavnice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interna evaluacija nastave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tematske sjednice stručnih vijeća sastavnica o kvaliteti nastave i rezultatima studentske ankete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271DC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Napomena / Ostalo</w:t>
            </w:r>
          </w:p>
        </w:tc>
        <w:tc>
          <w:tcPr>
            <w:tcW w:w="797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Sukladno čl. 6.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ez predrasuda“.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Prema čl. 14.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Zadru u cjelini, promovirati moralne i akademske vrijednosti i načela.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[…]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Etički je nedopušten svaki čin koji predstavlja povrjedu akademskog poštenja. To uključuje, ali se ne ograničava samo na: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- razne oblike prijevare kao što su uporaba ili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posjedovanje knjiga, bilježaka, podataka, elektroničkih naprava ili drugih pomagala za vrijeme ispita, osim u slučajevima kada je to izrijekom dopušteno;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- razne oblike krivotvorenja kao što su uporaba ili posjedovanje neautorizirana materijala tijekom isp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ita; lažno predstavljanje i nazočnost ispitima u ime drugih studenata; lažiranje dokumenata u vezi sa studijima; falsificiranje potpisa i ocjena; krivotvorenje rezultata ispita“.</w:t>
            </w: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Svi oblici neetičnog ponašanja rezultirat će negativnom ocjenom u kolegiju be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z mogućnosti nadoknade ili popravka. U slučaju težih povreda primjenjuje se </w:t>
            </w:r>
            <w:hyperlink r:id="rId6" w:history="1">
              <w:r>
                <w:rPr>
                  <w:rFonts w:ascii="Merriweather" w:hAnsi="Merriweather"/>
                  <w:sz w:val="18"/>
                  <w:szCs w:val="18"/>
                </w:rPr>
                <w:t xml:space="preserve">Pravilnik o </w:t>
              </w:r>
            </w:hyperlink>
            <w:hyperlink r:id="rId7" w:history="1">
              <w:r>
                <w:rPr>
                  <w:rFonts w:ascii="Merriweather" w:hAnsi="Merriweather"/>
                  <w:sz w:val="18"/>
                  <w:szCs w:val="18"/>
                </w:rPr>
                <w:t>stegovnoj odgovornosti studenata/studentica Sveučilišta u Zadru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U elektronskoj komunikaciji bit će odgovarano samo na poruke koje dolaze s poznati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h adresa s imenom i prezimenom, te koje su napisane hrvatskim standardom i primjerenim akademskim stilom.</w:t>
            </w:r>
          </w:p>
          <w:p w:rsidR="009271DC" w:rsidRDefault="009271DC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9271DC" w:rsidRDefault="00CF5B2B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U kolegiju se koristi Merlin, sustav za e-učenje, pa su studentima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/izbrisati po potrebi/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DC" w:rsidRDefault="009271DC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9271DC" w:rsidRDefault="009271DC">
      <w:pPr>
        <w:pStyle w:val="Standard"/>
        <w:rPr>
          <w:rFonts w:ascii="Merriweather" w:hAnsi="Merriweather"/>
          <w:sz w:val="18"/>
          <w:szCs w:val="18"/>
        </w:rPr>
      </w:pPr>
    </w:p>
    <w:sectPr w:rsidR="009271DC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2B" w:rsidRDefault="00CF5B2B">
      <w:pPr>
        <w:spacing w:before="0" w:after="0"/>
      </w:pPr>
      <w:r>
        <w:separator/>
      </w:r>
    </w:p>
  </w:endnote>
  <w:endnote w:type="continuationSeparator" w:id="0">
    <w:p w:rsidR="00CF5B2B" w:rsidRDefault="00CF5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2B" w:rsidRDefault="00CF5B2B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CF5B2B" w:rsidRDefault="00CF5B2B">
      <w:pPr>
        <w:spacing w:before="0" w:after="0"/>
      </w:pPr>
      <w:r>
        <w:continuationSeparator/>
      </w:r>
    </w:p>
  </w:footnote>
  <w:footnote w:id="1">
    <w:p w:rsidR="009271DC" w:rsidRDefault="00CF5B2B">
      <w:pPr>
        <w:pStyle w:val="FootnoteText"/>
        <w:jc w:val="both"/>
      </w:pPr>
      <w:r>
        <w:rPr>
          <w:rStyle w:val="FootnoteReference"/>
        </w:rPr>
        <w:t>*</w:t>
      </w: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FF" w:rsidRDefault="00CF5B2B">
    <w:pPr>
      <w:pStyle w:val="Heading2"/>
      <w:tabs>
        <w:tab w:val="left" w:pos="1418"/>
      </w:tabs>
      <w:spacing w:before="0" w:after="0"/>
      <w:ind w:left="1560"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-207641</wp:posOffset>
              </wp:positionH>
              <wp:positionV relativeFrom="paragraph">
                <wp:posOffset>-267974</wp:posOffset>
              </wp:positionV>
              <wp:extent cx="1162687" cy="956947"/>
              <wp:effectExtent l="0" t="0" r="18413" b="14603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687" cy="956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CE62FF" w:rsidRDefault="00CF5B2B">
                          <w:r>
                            <w:rPr>
                              <w:rFonts w:eastAsia="Calibri" w:cs="Times New Roman"/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3" cy="7810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3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16.35pt;margin-top:-21.1pt;width:91.5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" strokecolor="white" strokeweight=".26467mm">
              <v:textbox>
                <w:txbxContent>
                  <w:p w:rsidR="00CE62FF" w:rsidRDefault="00CF5B2B">
                    <w:r>
                      <w:rPr>
                        <w:rFonts w:eastAsia="Calibri" w:cs="Times New Roman"/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3" cy="7810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3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CE62FF" w:rsidRDefault="00CF5B2B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 w:rsidR="00CE62FF" w:rsidRDefault="00CF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1DC"/>
    <w:rsid w:val="009271DC"/>
    <w:rsid w:val="00CF5B2B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94509-4871-4F78-B3E9-8B5708C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Century Gothic" w:hAnsi="Century Gothic" w:cs="Century Gothic"/>
      <w:i/>
      <w:iCs/>
      <w:sz w:val="16"/>
      <w:szCs w:val="16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Standard"/>
    <w:pPr>
      <w:spacing w:before="0"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600"/>
      <w:jc w:val="both"/>
    </w:pPr>
    <w:rPr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Bahnik</cp:lastModifiedBy>
  <cp:revision>2</cp:revision>
  <dcterms:created xsi:type="dcterms:W3CDTF">2023-09-30T07:52:00Z</dcterms:created>
  <dcterms:modified xsi:type="dcterms:W3CDTF">2023-09-30T07:52:00Z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