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5E" w:rsidRDefault="00970F5E">
      <w:pPr>
        <w:pStyle w:val="Standard"/>
        <w:jc w:val="center"/>
        <w:rPr>
          <w:rFonts w:ascii="Merriweather" w:hAnsi="Merriweather" w:cs="Times New Roman"/>
          <w:b/>
        </w:rPr>
      </w:pPr>
      <w:bookmarkStart w:id="0" w:name="_GoBack"/>
      <w:bookmarkEnd w:id="0"/>
    </w:p>
    <w:p w:rsidR="00970F5E" w:rsidRDefault="00854C89">
      <w:pPr>
        <w:pStyle w:val="Standard"/>
        <w:jc w:val="center"/>
      </w:pPr>
      <w:r>
        <w:rPr>
          <w:rFonts w:ascii="Merriweather" w:hAnsi="Merriweather" w:cs="Times New Roman"/>
          <w:b/>
        </w:rPr>
        <w:t>Izvedbeni plan nastave (</w:t>
      </w:r>
      <w:r>
        <w:rPr>
          <w:rFonts w:ascii="Merriweather" w:hAnsi="Merriweather" w:cs="Times New Roman"/>
          <w:b/>
          <w:i/>
        </w:rPr>
        <w:t>syllabus</w:t>
      </w:r>
      <w:r>
        <w:rPr>
          <w:rFonts w:ascii="Merriweather" w:hAnsi="Merriweather" w:cs="Times New Roman"/>
          <w:b/>
        </w:rPr>
        <w:t>)</w:t>
      </w:r>
      <w:r>
        <w:rPr>
          <w:rStyle w:val="FootnoteReference"/>
          <w:rFonts w:ascii="Merriweather" w:hAnsi="Merriweather"/>
          <w:sz w:val="20"/>
        </w:rPr>
        <w:footnoteReference w:customMarkFollows="1" w:id="1"/>
        <w:t>*</w:t>
      </w:r>
    </w:p>
    <w:tbl>
      <w:tblPr>
        <w:tblW w:w="98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445"/>
        <w:gridCol w:w="444"/>
        <w:gridCol w:w="322"/>
        <w:gridCol w:w="35"/>
        <w:gridCol w:w="87"/>
        <w:gridCol w:w="237"/>
        <w:gridCol w:w="128"/>
        <w:gridCol w:w="78"/>
        <w:gridCol w:w="187"/>
        <w:gridCol w:w="258"/>
        <w:gridCol w:w="141"/>
        <w:gridCol w:w="305"/>
        <w:gridCol w:w="495"/>
        <w:gridCol w:w="129"/>
        <w:gridCol w:w="102"/>
        <w:gridCol w:w="302"/>
        <w:gridCol w:w="422"/>
        <w:gridCol w:w="348"/>
        <w:gridCol w:w="64"/>
        <w:gridCol w:w="554"/>
        <w:gridCol w:w="482"/>
        <w:gridCol w:w="289"/>
        <w:gridCol w:w="26"/>
        <w:gridCol w:w="199"/>
        <w:gridCol w:w="272"/>
        <w:gridCol w:w="157"/>
        <w:gridCol w:w="512"/>
        <w:gridCol w:w="411"/>
        <w:gridCol w:w="360"/>
      </w:tblGrid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Književnost u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nastavi francuskoga kao inoga jezika</w:t>
            </w:r>
          </w:p>
        </w:tc>
        <w:tc>
          <w:tcPr>
            <w:tcW w:w="3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4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jc w:val="center"/>
            </w:pPr>
            <w:r>
              <w:rPr>
                <w:rFonts w:ascii="Merriweather" w:hAnsi="Merriweather" w:cs="Times New Roman"/>
                <w:kern w:val="0"/>
                <w:sz w:val="18"/>
                <w:szCs w:val="18"/>
              </w:rPr>
              <w:t>2023./2024.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88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Diplomski studij francuskog jezika i književnosti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preddiplomski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poslijediplomski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eastAsia="MS Mincho" w:hAnsi="Merriweather" w:cs="MS Mincho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zimski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8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DA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NE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SK-145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Francuski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6.10.2022.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right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Završetak nastave </w:t>
            </w:r>
            <w:r>
              <w:rPr>
                <w:rFonts w:ascii="Merriweather" w:hAnsi="Merriweather" w:cs="Times New Roman"/>
                <w:sz w:val="18"/>
                <w:szCs w:val="18"/>
              </w:rPr>
              <w:t>26.01.2023.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Upisana 1. godina diplomskog studija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Doc. dr. sc. Frano Vrančić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Četvrtkom od 16h do 18h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Doc. dr. sc. Frano Vrančić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Četvrkom od 16h do 18h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predavanja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vježbe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teren</w:t>
            </w:r>
            <w:r>
              <w:rPr>
                <w:rFonts w:ascii="Merriweather" w:hAnsi="Merriweather" w:cs="Times New Roman"/>
                <w:sz w:val="18"/>
                <w:szCs w:val="18"/>
              </w:rPr>
              <w:lastRenderedPageBreak/>
              <w:t>ska nastava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733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Nakon položenog ispita iz ovog kolegija studenti će biti sposobni samostalno planirati i izvesti nastavni sat iz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francuskog jezika, odnosno francuske književnosti (potonje u okviru dvojezičnog programa hrvatsko-francuske), na svim stupnjevima poučavanja, zaključno do razine B2-C1, primjenjujući autentične i didaktički prilagođene tekstove iz francuske književnosti.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Studenti će biti sposobni razlikovati nastavne materijale primjerene različitim dobnim skupinama i razinama poznavanja francuskog jezika, te interesima učenika. Estetske, etičke i kulturološke vrijednosti pojedinog francuskog književnog teksta studenti će </w:t>
            </w:r>
            <w:r>
              <w:rPr>
                <w:rFonts w:ascii="Merriweather" w:hAnsi="Merriweather" w:cs="Times New Roman"/>
                <w:sz w:val="18"/>
                <w:szCs w:val="18"/>
              </w:rPr>
              <w:t>moći povezati s odgojnim, obrazovnim i funkcionalnim ciljevima nastave francuskog jezika. Svaki student će biti sposoban izraditi i osmisliti nastavni materijal (fiche pédagogique).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733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-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Razlikovati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i usporediti književne epohe, razdoblja, pravce, pokrete i škole  francuske književnosti, od srednjovjekovnoga razdoblja do suvremenosti ; analizirati i interpretirati francuska i frankofonska književna djela koristeći se znanstvenim znanjima s područja te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orije književnosti; primijeniti različite metodologije čitanja i tumačenja književnih tekstova; pripremiti usmena izlaganja, sastavljati pisane seminarske radove; kritički usporediti i prezentirati stečena znanja, iskustva i argumente te donositi zaključke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 o njima; primijeniti suvremene nastavne metode i pristupe u nastavi francuskoga jezika.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eksperimentalni </w:t>
            </w:r>
            <w:r>
              <w:rPr>
                <w:rFonts w:ascii="Merriweather" w:hAnsi="Merriweather" w:cs="Times New Roman"/>
                <w:sz w:val="18"/>
                <w:szCs w:val="18"/>
              </w:rPr>
              <w:t>rad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se</w:t>
            </w:r>
            <w:r>
              <w:rPr>
                <w:rFonts w:ascii="Merriweather" w:hAnsi="Merriweather" w:cs="Times New Roman"/>
                <w:sz w:val="18"/>
                <w:szCs w:val="18"/>
              </w:rPr>
              <w:lastRenderedPageBreak/>
              <w:t>minar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Održana prezentacija na osnovi izrađenog nastavnog materijala. Prisutnost na nastavi (70%), a u slučaju kolizije (50%).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Ispitni 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rokovi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zimski ispitni rok</w:t>
            </w: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13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2.02.2023.-16.02.2023.</w:t>
            </w: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8.09.2023.-22.09.2023.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Tijekom nastave iz kolegija studenti će se upoznati, u teoriji i praksi, s načinima uvođenja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francuske književnosti u poučavanju francuskoga kao inoga jezika, te francuske književnosti u dvojezičnim nastavnim programima hrvatsko-francuske nastave u gimnazijama. Književnim tekstovima se bolje motiviraju učenici, pridonose smislenosti procesa učenja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, razvijaju kreativnost, utječu na ovladavanje međukulturnom komunikacijskom kompetencijom, pozitivno djeluju na ovladavanje inim jezikom kao i na stvaranje pozitivnih stavova prema učenju općenito. Tijekom nastave studenti će se upoznati s različitim knji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ževnim vrstama koji će moći koristiti u nastavi francuskoga kao inoga jezika. Pozornost će se staviti, pored malih književnih vrsta poput maksime, bajke, basne, i na veće književne vrste – poglavito na poeziju, ali i pripovijetku, novelu, roman ili dramske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vrste. Detektivski francuski roman (le roman policier) prikladan je za psihologizaciju likova i otvara prostor kreativnoj usmenoj i pisanoj dramatizaciji gdje studenti podijeljeni u više skupina mogu isti detektivski tekst različito predstaviti. Na semina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rima će studenti samostalno osmisliti i održati nastavni sat koristeći se posebnostima pojedine književne vrste.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La place de la littérature dans lʼenseignement de la langue et de la littérature française (y compris la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littérature au programme de lʼenseignement croato-français des lycées bilingues)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2. La création et l'importance de la fiche pédagogique. La préparation et l'utilisation des extraits littéraires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3.Formes courtes. La mise en scène de la fable et le jeu de rô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les. Les maximes.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4.Le conte de fée : jeu de rôles, mise en scène.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Charles Perrault,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Contes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5. Le théâtre dans l'enseignement du français FLE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6. Le théâtre dans l'enseignement du français FLE (suite)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7. Le jeu théâtral et l'improvisation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8. Le jeu théâtra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l et l'improvisation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9. Le roman policier dans l'enseignement de FLE dans un lycée bilingue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10. Le roman policier (suite)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11. Le conte et la nouvelle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12. La poésie dans l'enseignement de FLE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13. La poésie dans l'enseignement de FLE (suite)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La poésie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dans l'enseignement de FLE (suite)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15. Extraits d'un roman dans l'enseignement de FLE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Emmanuèle Blanc, Le commentaire littéraire-méthode et applications, Paris, Ellipses, 2014.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Jean-Marc Defays, Annie-Rosine Delbart, Samia Hammami, et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al. La littérature en FLE : état des lieux et nouvelles perspectives, Paris, Hachette, FLE, 2014.</w:t>
            </w:r>
          </w:p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Dodatna literatura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A. Godard: La littérature dans lʼenseignement du français langue étrangère, Paris : Didier, coll. Langues et didactique, 2014.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Dragutin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Rosandić : Književnost u osnovnoj školi, Šk, Zagreb, 1978.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Mrežni izvori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6508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970F5E" w:rsidRDefault="00854C89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2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970F5E" w:rsidRDefault="00854C89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20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970F5E" w:rsidRDefault="00854C89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970F5E" w:rsidRDefault="00854C89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Kontinuirana evaluacija sudjelovanja u nastavi i održana prezentacija na osnovi izrađenog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nastavnog materijala(50%), usmeni dio ispita 50 %.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Ocjenjivanje</w:t>
            </w:r>
          </w:p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18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18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18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18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970F5E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18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studentska evaluacija nastave na razini Sveučilišta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970F5E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3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ez predrasuda“.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Zadru u cjelini, promovirati moralne i akademske vrijednosti i načela.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[…]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Etički je nedopušten svaki čin koji predstavlja povrjedu akademskog poštenja. To uključuje, ali se ne ograničava samo na: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- razne oblike prijevare kao što su uporaba ili posjedovan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je knjiga, bilježaka, podataka, elektroničkih naprava ili drugih pomagala za vrijeme ispita, osim u slučajevima kada je to izrijekom dopušteno;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predstavljanje i nazočnost ispitima u ime drugih studenata; lažiranje dokumenata u vezi sa studijima; falsificiranje potpisa i ocjena; krivotvorenje rezultata ispita“.</w:t>
            </w: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Svi oblici neetičnog ponašanja rezultirat će negativnom ocjenom u kolegiju bez mogućnos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ti nadoknade ili popravka. U slučaju težih povreda primjenjuje se </w:t>
            </w:r>
            <w:hyperlink r:id="rId6" w:history="1"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</w:rPr>
                <w:t>Pravilnik o stegovnoj odgovornosti studenata/student</w:t>
              </w:r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</w:rPr>
                <w:t>ica Sveučilišta u Zadru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70F5E" w:rsidRDefault="00970F5E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970F5E" w:rsidRDefault="00854C89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-učenje, pa su studentima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potrebni AAI računi.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F5E" w:rsidRDefault="00970F5E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970F5E" w:rsidRDefault="00970F5E">
      <w:pPr>
        <w:pStyle w:val="Standard"/>
      </w:pPr>
    </w:p>
    <w:sectPr w:rsidR="00970F5E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89" w:rsidRDefault="00854C89">
      <w:pPr>
        <w:spacing w:before="0" w:after="0"/>
      </w:pPr>
      <w:r>
        <w:separator/>
      </w:r>
    </w:p>
  </w:endnote>
  <w:endnote w:type="continuationSeparator" w:id="0">
    <w:p w:rsidR="00854C89" w:rsidRDefault="00854C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89" w:rsidRDefault="00854C89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854C89" w:rsidRDefault="00854C89">
      <w:pPr>
        <w:spacing w:before="0" w:after="0"/>
      </w:pPr>
      <w:r>
        <w:continuationSeparator/>
      </w:r>
    </w:p>
  </w:footnote>
  <w:footnote w:id="1">
    <w:p w:rsidR="00970F5E" w:rsidRDefault="00854C89">
      <w:pPr>
        <w:pStyle w:val="FootnoteText"/>
        <w:jc w:val="both"/>
      </w:pPr>
      <w:r>
        <w:rPr>
          <w:rStyle w:val="FootnoteReference"/>
        </w:rPr>
        <w:t>*</w:t>
      </w: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02" w:rsidRDefault="00854C89">
    <w:pPr>
      <w:pStyle w:val="Heading2"/>
      <w:tabs>
        <w:tab w:val="left" w:pos="1418"/>
      </w:tabs>
      <w:spacing w:before="0" w:after="0"/>
      <w:ind w:left="1560"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-207641</wp:posOffset>
              </wp:positionH>
              <wp:positionV relativeFrom="paragraph">
                <wp:posOffset>-267974</wp:posOffset>
              </wp:positionV>
              <wp:extent cx="1162687" cy="956947"/>
              <wp:effectExtent l="0" t="0" r="18413" b="14603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687" cy="956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215302" w:rsidRDefault="00854C89">
                          <w:r>
                            <w:rPr>
                              <w:rFonts w:eastAsia="Calibri" w:cs="Times New Roman"/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3" cy="7810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3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16.35pt;margin-top:-21.1pt;width:91.5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" strokecolor="white" strokeweight=".26467mm">
              <v:textbox>
                <w:txbxContent>
                  <w:p w:rsidR="00215302" w:rsidRDefault="00854C89">
                    <w:r>
                      <w:rPr>
                        <w:rFonts w:eastAsia="Calibri" w:cs="Times New Roman"/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3" cy="7810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3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5302" w:rsidRDefault="00854C89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 w:rsidR="00215302" w:rsidRDefault="00854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0F5E"/>
    <w:rsid w:val="00757396"/>
    <w:rsid w:val="00854C89"/>
    <w:rsid w:val="009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757E8-4D4A-4995-B9F1-CD6E900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Standard"/>
    <w:pPr>
      <w:spacing w:before="0"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Bahnik</cp:lastModifiedBy>
  <cp:revision>2</cp:revision>
  <dcterms:created xsi:type="dcterms:W3CDTF">2023-09-30T07:52:00Z</dcterms:created>
  <dcterms:modified xsi:type="dcterms:W3CDTF">2023-09-30T07:52:00Z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