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C9" w:rsidRDefault="00762EC9">
      <w:pPr>
        <w:pStyle w:val="Standard"/>
        <w:rPr>
          <w:rFonts w:cs="Times New Roman"/>
          <w:b/>
        </w:rPr>
      </w:pPr>
      <w:bookmarkStart w:id="0" w:name="_GoBack"/>
      <w:bookmarkEnd w:id="0"/>
    </w:p>
    <w:p w:rsidR="00762EC9" w:rsidRDefault="000F21CF">
      <w:pPr>
        <w:pStyle w:val="Standard"/>
        <w:jc w:val="center"/>
      </w:pPr>
      <w:r>
        <w:rPr>
          <w:rFonts w:ascii="Merriweather" w:hAnsi="Merriweather" w:cs="Times New Roman"/>
          <w:b/>
          <w:sz w:val="22"/>
          <w:shd w:val="clear" w:color="auto" w:fill="FFFFFF"/>
        </w:rPr>
        <w:t>Izvedbeni plan nastave (</w:t>
      </w:r>
      <w:r>
        <w:rPr>
          <w:rFonts w:ascii="Merriweather" w:hAnsi="Merriweather" w:cs="Times New Roman"/>
          <w:b/>
          <w:i/>
          <w:sz w:val="22"/>
          <w:shd w:val="clear" w:color="auto" w:fill="FFFFFF"/>
        </w:rPr>
        <w:t>syllabus</w:t>
      </w:r>
      <w:r>
        <w:rPr>
          <w:rFonts w:ascii="Merriweather" w:hAnsi="Merriweather" w:cs="Times New Roman"/>
          <w:b/>
          <w:sz w:val="22"/>
          <w:shd w:val="clear" w:color="auto" w:fill="FFFFFF"/>
        </w:rPr>
        <w:t>)</w:t>
      </w:r>
      <w:r>
        <w:rPr>
          <w:rStyle w:val="FootnoteReference"/>
          <w:rFonts w:ascii="Merriweather" w:hAnsi="Merriweather"/>
          <w:sz w:val="22"/>
          <w:shd w:val="clear" w:color="auto" w:fill="FFFFFF"/>
        </w:rPr>
        <w:footnoteReference w:customMarkFollows="1" w:id="1"/>
        <w:t>*</w:t>
      </w:r>
    </w:p>
    <w:tbl>
      <w:tblPr>
        <w:tblW w:w="95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445"/>
        <w:gridCol w:w="444"/>
        <w:gridCol w:w="322"/>
        <w:gridCol w:w="35"/>
        <w:gridCol w:w="87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482"/>
        <w:gridCol w:w="289"/>
        <w:gridCol w:w="26"/>
        <w:gridCol w:w="199"/>
        <w:gridCol w:w="182"/>
        <w:gridCol w:w="247"/>
        <w:gridCol w:w="236"/>
        <w:gridCol w:w="35"/>
        <w:gridCol w:w="742"/>
      </w:tblGrid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Naziv kolegija</w:t>
            </w:r>
          </w:p>
        </w:tc>
        <w:tc>
          <w:tcPr>
            <w:tcW w:w="588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Francusko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pjesništvo 20. stoljeća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akad. god.</w:t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2023./2024.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Naziv studija</w:t>
            </w:r>
          </w:p>
        </w:tc>
        <w:tc>
          <w:tcPr>
            <w:tcW w:w="588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Diplomski studij francuskog jezika i književnosti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ECTS</w:t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Sastavnica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Odjel za francuske i frankofonske studije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Razina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diplomski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integrirani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poslijediplomski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jednopredmetni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sveučilišni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stručni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specijalistički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Godina studija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3.</w:t>
            </w:r>
          </w:p>
        </w:tc>
        <w:tc>
          <w:tcPr>
            <w:tcW w:w="16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4.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5.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Semestar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zimski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III.</w:t>
            </w:r>
          </w:p>
        </w:tc>
        <w:tc>
          <w:tcPr>
            <w:tcW w:w="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IV.</w:t>
            </w: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V.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VIII.</w:t>
            </w:r>
          </w:p>
        </w:tc>
        <w:tc>
          <w:tcPr>
            <w:tcW w:w="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IX.</w:t>
            </w: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X.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Status kolegija</w:t>
            </w: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obvezni kolegij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</w:t>
            </w:r>
          </w:p>
        </w:tc>
        <w:tc>
          <w:tcPr>
            <w:tcW w:w="28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 koji se nudi studentima drugih odjela</w:t>
            </w:r>
          </w:p>
        </w:tc>
        <w:tc>
          <w:tcPr>
            <w:tcW w:w="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Nastavničke kompetencije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DA</w:t>
            </w: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NE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</w:t>
            </w:r>
          </w:p>
        </w:tc>
        <w:tc>
          <w:tcPr>
            <w:tcW w:w="35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Mrežne stranice kolegija u sustavu za e-učenje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DA</w:t>
            </w: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NE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Mjesto i vrijeme izvođenja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Vidi raspored ak.god.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2022./2023.</w:t>
            </w:r>
          </w:p>
        </w:tc>
        <w:tc>
          <w:tcPr>
            <w:tcW w:w="35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Jezik/jezici na kojima se izvodi kolegij</w:t>
            </w:r>
          </w:p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Početak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2.03.2023.</w:t>
            </w:r>
          </w:p>
        </w:tc>
        <w:tc>
          <w:tcPr>
            <w:tcW w:w="35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right"/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Završetak nastave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8. 06.2023.</w:t>
            </w:r>
          </w:p>
        </w:tc>
        <w:tc>
          <w:tcPr>
            <w:tcW w:w="1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Preduvjeti za upis kolegija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Upisan diplomski studija francuskog jezika i književnosti (nastavnički smjer).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Nositelj kolegija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Vidi raspored ak.god. 2022./2023.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Izvođač kolegija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Vrste izvođenja nastave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seminari i 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vježbe</w:t>
            </w:r>
          </w:p>
        </w:tc>
        <w:tc>
          <w:tcPr>
            <w:tcW w:w="16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e-učenje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terenska nastava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samostalni zadaci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laboratorij</w:t>
            </w:r>
          </w:p>
        </w:tc>
        <w:tc>
          <w:tcPr>
            <w:tcW w:w="16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mentorski rad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Ishodi učenja kolegija</w:t>
            </w:r>
          </w:p>
        </w:tc>
        <w:tc>
          <w:tcPr>
            <w:tcW w:w="504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 xml:space="preserve">-objasniti društveno-povijesne prilike u Europi, posebno u Francuskoj u XX. st..;  </w:t>
            </w: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navesti glavne značajke francuskog pjesništva XX. st., pjesničke pravce i njihove predstavnike; izložiti specifičnosti pojedinih pjesničkih opusa koji su obilježili različite etape francuske poezije XX. st.;</w:t>
            </w:r>
            <w:r>
              <w:rPr>
                <w:rFonts w:ascii="Merriweather" w:eastAsia="Times New Roman" w:hAnsi="Merriweather" w:cs="Arial"/>
                <w:sz w:val="18"/>
                <w:szCs w:val="18"/>
                <w:shd w:val="clear" w:color="auto" w:fill="FFFFFF"/>
                <w:lang w:eastAsia="hr-HR"/>
              </w:rPr>
              <w:t xml:space="preserve"> primijeniti suvremene metodološke pristupe u tum</w:t>
            </w:r>
            <w:r>
              <w:rPr>
                <w:rFonts w:ascii="Merriweather" w:eastAsia="Times New Roman" w:hAnsi="Merriweather" w:cs="Arial"/>
                <w:sz w:val="18"/>
                <w:szCs w:val="18"/>
                <w:shd w:val="clear" w:color="auto" w:fill="FFFFFF"/>
                <w:lang w:eastAsia="hr-HR"/>
              </w:rPr>
              <w:t>ačenju poetskih tekstova XX. st.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Ishodi učenja na razini programa kojima kolegij doprinosi</w:t>
            </w:r>
          </w:p>
        </w:tc>
        <w:tc>
          <w:tcPr>
            <w:tcW w:w="504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-razlikovati i usporediti književne epohe, razdoblja, pravce, pokrete i škole  francuske književnosti, od srednjovjekovnoga razdoblja do suvremenosti; razumjeti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književni tekst i diskurs te prepoznati žanrovska i stilska obilježja pojedinih književnih tekstova; analizirati i interpretirati francuska i frankofonska književna djela koristeći se znanstvenim znanjima s područja teorije književnosti; primijeniti različ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ite metodologije čitanja i tumačenja književnih tekstova.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Načini praćenja studenata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domaće zadaće</w:t>
            </w:r>
          </w:p>
        </w:tc>
        <w:tc>
          <w:tcPr>
            <w:tcW w:w="16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kontinuirana evaluacija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istraživanje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eksperimentalni rad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izlaganje</w:t>
            </w:r>
          </w:p>
        </w:tc>
        <w:tc>
          <w:tcPr>
            <w:tcW w:w="16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projekt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seminar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usmeni ispit</w:t>
            </w:r>
          </w:p>
        </w:tc>
        <w:tc>
          <w:tcPr>
            <w:tcW w:w="16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ostalo: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Uvjeti pristupanja ispitu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Upisana 1. god. diplomskog studija francuskog jezika i književnosti (nastavnički smjer).</w:t>
            </w:r>
          </w:p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Ispitni rokovi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zimski ispitni rok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 ispitni rok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jesenski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ispitni rok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Termini ispitnih rokova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15.06.2023.-29.06.2023.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7.09.2023.-21.09.2023.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Opis kolegija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 xml:space="preserve">Velika raznovrsnost pjesničkog izraza, težnja za što većom pjesničkom slobodom, kao temeljnim obilježjima francuske poezije XX. st., otežavaju objektivni 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 xml:space="preserve">prikaz cjelovitog poetskog stvaralaštva u ograničenom broju 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lastRenderedPageBreak/>
              <w:t>pjesnika i pjesama. Sam se pojam «pjesništvo», više ne može definirati  formalnim kriterijem jer svaki pjesnik ima vlastitu koncepciju, vlastito pjesničko iskustvo. Pa ipak, osnovna bipartitna pod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>jela bila bi na Rimbaudove i Mallarméove sljedbenike. 1. Početak XX. st. prijelazna je faza koja obiluje «-izmima»,  mnoštvom  kratkotrajnih pokreta i struja; Guillaume Apollinaire i „nova estetika“; 2. Razdoblje između dva svjetska rata: Pierre Reverdy, A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 xml:space="preserve">ndré Breton i nadrealizam; 3. Ratno i poratno razdoblje kada se pjesnici Otpora  vraćaju tradicionalnim pjesničkim oblicima i motivima (Eluard, Aragon, Char). 4. Razdoblje od 1960.  do 1970. : časopis </w:t>
            </w:r>
            <w:r>
              <w:rPr>
                <w:rFonts w:ascii="Merriweather" w:eastAsia="MS Gothic" w:hAnsi="Merriweather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>Tel quel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 xml:space="preserve"> i jezična eksperimentiranja; prekid s lirizmom</w:t>
            </w:r>
            <w:r>
              <w:rPr>
                <w:rFonts w:ascii="Merriweather" w:eastAsia="MS Gothic" w:hAnsi="Merriweather" w:cs="Times New Roman"/>
                <w:bCs/>
                <w:sz w:val="18"/>
                <w:szCs w:val="18"/>
                <w:shd w:val="clear" w:color="auto" w:fill="FFFFFF"/>
              </w:rPr>
              <w:t xml:space="preserve"> i mitom o nadahnuću. 5. Prekretnica 1980-tih godina: pojedinačna pjesnička iskustva, povratak novoj kakvoći lirizma, traganje za «istinskim mjestom».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Sadržaj kolegija (nastavne teme)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1. </w:t>
            </w:r>
            <w:r>
              <w:rPr>
                <w:rFonts w:ascii="Merriweather" w:eastAsia="MS Gothic" w:hAnsi="Merriweather" w:cs="Times New Roman"/>
                <w:color w:val="000000"/>
                <w:sz w:val="18"/>
                <w:szCs w:val="18"/>
                <w:shd w:val="clear" w:color="auto" w:fill="FFFFFF"/>
                <w:lang w:val="fr-FR" w:eastAsia="hr-HR"/>
              </w:rPr>
              <w:t>Introduction à la poésie française du XXe siècle.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2.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 xml:space="preserve">Les poètes de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Dieu (Jammes, Péguy, Claudel).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3.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Guillaume Apollinaire (1880-1918), au confluent de la tradition symboliste et des recherches de la poésie présurréaliste.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Paul Valéry (1871-1945): poésie et pensée.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5.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Les poètes cosmopolites : Valery Larbaud, Saint-Joh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n Perse, Victor Segalen, Blaise Cendrars.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 xml:space="preserve">                     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Pierre Reverdy (1889-1960): quand l´image devient le signe distinctif majeur de la poésie moderne.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7.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André Breton (1896-1966) et le surréalisme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8.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 xml:space="preserve">Paul Eluard (1895-1952), poète de l´amour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et de l´amitié.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9.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Jules Supervielle (1884-1960), conciliateur des poésies anciennes et modernes.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10.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Francis Ponge (1899-1988): les choses et les mots.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11.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René Char (1907-1988) ou la communication poétique.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12. 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>Expériences poétiques I  (à la recherche du</w:t>
            </w:r>
            <w:r>
              <w:rPr>
                <w:rFonts w:ascii="Merriweather" w:eastAsia="Calibri" w:hAnsi="Merriweather" w:cs="Times New Roman"/>
                <w:bCs/>
                <w:sz w:val="18"/>
                <w:szCs w:val="18"/>
                <w:shd w:val="clear" w:color="auto" w:fill="FFFFFF"/>
                <w:lang w:val="fr-FR"/>
              </w:rPr>
              <w:t xml:space="preserve"> « vrai lieu »): Jean Follain, Yves Bonnefoy, André du Bouchet.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13.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Expériences poétiques II : Jacques Dupin, Eugène Guillevic, André Frénaud.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14. </w:t>
            </w:r>
            <w:r>
              <w:rPr>
                <w:rFonts w:ascii="Merriweather" w:eastAsia="Calibri" w:hAnsi="Merriweather" w:cs="Times New Roman"/>
                <w:sz w:val="18"/>
                <w:szCs w:val="18"/>
                <w:shd w:val="clear" w:color="auto" w:fill="FFFFFF"/>
                <w:lang w:val="fr-FR"/>
              </w:rPr>
              <w:t>Déchiffrage de l´espace du quotidien: Philippe Jaccottet et Jacques Réda.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15. Tendances de la poésie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française contemporaine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Obvezna literatura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jc w:val="both"/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Briolet D.,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Lire la poésie française du XXe siècle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, Paris, Armand Collin, 2005.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Dodatna literatura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jc w:val="both"/>
              <w:rPr>
                <w:rFonts w:ascii="Merriweather" w:eastAsia="MS Gothic" w:hAnsi="Merriweather" w:cs="Arial"/>
                <w:sz w:val="18"/>
                <w:szCs w:val="18"/>
                <w:shd w:val="clear" w:color="auto" w:fill="FFFFFF"/>
              </w:rPr>
            </w:pP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Depierris, J.-L.: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Tradition et insoumission dans la poésie française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, Presses Universitaires de Nancy (1992).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Sabatier, R.: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La Poésie du XXe siècle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, I – III, Albin Michel (1982 /1988).</w:t>
            </w:r>
          </w:p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Provjera ishoda učenja (prema uputama AZVO)</w:t>
            </w:r>
          </w:p>
        </w:tc>
        <w:tc>
          <w:tcPr>
            <w:tcW w:w="6508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završni ispit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762EC9" w:rsidRDefault="000F21C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762EC9" w:rsidRDefault="000F21C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usmeni ispit</w:t>
            </w:r>
          </w:p>
        </w:tc>
        <w:tc>
          <w:tcPr>
            <w:tcW w:w="20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 usmeni završni ispit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praktični ra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lastRenderedPageBreak/>
              <w:t xml:space="preserve">d i završni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ispit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762EC9" w:rsidRDefault="000F21C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</w:t>
            </w:r>
          </w:p>
        </w:tc>
        <w:tc>
          <w:tcPr>
            <w:tcW w:w="1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762EC9" w:rsidRDefault="000F21CF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rad i završni ispit</w:t>
            </w:r>
          </w:p>
        </w:tc>
        <w:tc>
          <w:tcPr>
            <w:tcW w:w="16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praktični rad</w:t>
            </w: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 formiranja završne ocjene (%)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Aktivno sudjelovanje na nastavi  i pripreme za predavanje (33%), usmeni ispit (67%).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Ocjenjivanje</w:t>
            </w:r>
          </w:p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/upisati postotak ili broj bodova za elemente koji se ocjenjuju/</w:t>
            </w: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nedovoljan (1)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dovoljan (2)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dobar (3)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vrlo dobar (4)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762EC9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izvrstan (5)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Način praćenja kvalitete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Sveučilišta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studentska evaluacija nastave na razini sastavnice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interna evaluacija nastave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tematske sjednice stručnih vijeća sastavnica o kvaliteti nastave i rezultatima studentske ankete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  <w:tr w:rsidR="00762EC9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Napomena / Ostalo</w:t>
            </w:r>
          </w:p>
        </w:tc>
        <w:tc>
          <w:tcPr>
            <w:tcW w:w="674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Odbora za etiku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u znanosti i visokom obrazovanju, „od studenta se očekuje da pošteno i etično ispunjava svoje obveze, da mu je temeljni cilj akademska izvrsnost, da se ponaša civilizirano, s poštovanjem i bez predrasuda“.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Sveučilišta u Zadru,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od studenata se očekuje „odgovorno i savjesno ispunjavanje obveza. […] Dužnost je studenata/studentica čuvati ugled i dostojanstvo svih članova/članica sveučilišne zajednice i Sveučilišta u Zadru u cjelini, promovirati moralne i akademske vrijednosti i na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čela.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[…]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Etički je nedopušten svaki čin koji predstavlja povrjedu akademskog poštenja. To uključuje, ali se ne ograničava samo na: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- razne oblike prijevare kao što su uporaba ili posjedovanje knjiga, bilježaka, podataka, elektroničkih naprava ili drugih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pomagala za vrijeme ispita, osim u slučajevima kada je to izrijekom dopušteno;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- razne oblike krivotvorenja kao što su uporaba ili posjedovanje neautorizirana materijala tijekom ispita; lažno predstavljanje i nazočnost ispitima u ime drugih studenata; laži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ranje dokumenata u vezi sa studijima; falsificiranje potpisa i ocjena; krivotvorenje rezultata ispita“.</w:t>
            </w: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Svi oblici neetičnog ponašanja rezultirat će negativnom ocjenom u kolegiju bez mogućnosti nadoknade ili popravka. U slučaju težih povreda primjenjuje se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  <w:shd w:val="clear" w:color="auto" w:fill="FFFFFF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lastRenderedPageBreak/>
              <w:t>U elektronskoj komunikaciji bit će odgo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varano samo na poruke koje dolaze s poznatih adresa s imenom i prezimenom, te koje su napisane hrvatskim standardom i primjerenim akademskim stilom.</w:t>
            </w:r>
          </w:p>
          <w:p w:rsidR="00762EC9" w:rsidRDefault="00762EC9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762EC9" w:rsidRDefault="000F21CF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 kolegiju se koristi Merlin, sustav za e-učenje, pa su studentima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potrebni AAI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računi.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/izbrisati po potrebi/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EC9" w:rsidRDefault="00762EC9">
            <w:pPr>
              <w:pStyle w:val="Standard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</w:tc>
      </w:tr>
    </w:tbl>
    <w:p w:rsidR="00762EC9" w:rsidRDefault="00762EC9">
      <w:pPr>
        <w:pStyle w:val="Standard"/>
        <w:rPr>
          <w:shd w:val="clear" w:color="auto" w:fill="FFFFFF"/>
        </w:rPr>
      </w:pPr>
    </w:p>
    <w:sectPr w:rsidR="00762EC9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CF" w:rsidRDefault="000F21CF">
      <w:pPr>
        <w:spacing w:before="0" w:after="0"/>
      </w:pPr>
      <w:r>
        <w:separator/>
      </w:r>
    </w:p>
  </w:endnote>
  <w:endnote w:type="continuationSeparator" w:id="0">
    <w:p w:rsidR="000F21CF" w:rsidRDefault="000F2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CF" w:rsidRDefault="000F21C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F21CF" w:rsidRDefault="000F21CF">
      <w:pPr>
        <w:spacing w:before="0" w:after="0"/>
      </w:pPr>
      <w:r>
        <w:continuationSeparator/>
      </w:r>
    </w:p>
  </w:footnote>
  <w:footnote w:id="1">
    <w:p w:rsidR="00762EC9" w:rsidRDefault="000F21CF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69" w:rsidRDefault="000F21CF">
    <w:pPr>
      <w:pStyle w:val="Heading2"/>
      <w:tabs>
        <w:tab w:val="left" w:pos="1418"/>
      </w:tabs>
      <w:spacing w:before="0" w:after="0"/>
      <w:ind w:left="1560" w:right="-14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136369" w:rsidRDefault="000F21CF">
                          <w:r>
                            <w:rPr>
                              <w:rFonts w:ascii="Calibri" w:eastAsia="Calibri" w:hAnsi="Calibri" w:cs="Times New Roman"/>
                              <w:noProof/>
                              <w:sz w:val="20"/>
                              <w:szCs w:val="20"/>
                              <w:lang w:eastAsia="hr-HR" w:bidi="ar-SA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136369" w:rsidRDefault="000F21CF">
                    <w:r>
                      <w:rPr>
                        <w:rFonts w:ascii="Calibri" w:eastAsia="Calibri" w:hAnsi="Calibri" w:cs="Times New Roman"/>
                        <w:noProof/>
                        <w:sz w:val="20"/>
                        <w:szCs w:val="20"/>
                        <w:lang w:eastAsia="hr-HR" w:bidi="ar-SA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136369" w:rsidRDefault="000F21CF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136369" w:rsidRDefault="000F2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EC9"/>
    <w:rsid w:val="000F21CF"/>
    <w:rsid w:val="00762EC9"/>
    <w:rsid w:val="00B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F0CD8-EAEE-436D-B785-2811CE1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2023-09-30T07:54:00Z</dcterms:created>
  <dcterms:modified xsi:type="dcterms:W3CDTF">2023-09-30T07:54:00Z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