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680AB8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80DA46D" w:rsidR="004B553E" w:rsidRPr="0017531F" w:rsidRDefault="007A6FC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5C382AD" w:rsidR="004B553E" w:rsidRPr="0017531F" w:rsidRDefault="007A6FC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Glotodidaktika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878FB83" w:rsidR="004B553E" w:rsidRPr="0017531F" w:rsidRDefault="007A6FC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6B7BD91" w:rsidR="004B553E" w:rsidRPr="0017531F" w:rsidRDefault="007A6FC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Francuski jezik i književnost, smjer: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3BBEFBB6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8C0D44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0FBDC86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460547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0417459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1529F6EA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69A4FC7" w:rsidR="00453362" w:rsidRPr="0017531F" w:rsidRDefault="002F13F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B19D297" w:rsidR="00453362" w:rsidRPr="0017531F" w:rsidRDefault="002F13F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8B08F44" w:rsidR="00453362" w:rsidRPr="0017531F" w:rsidRDefault="002F13F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2877AAA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1DB6857" w14:textId="77777777" w:rsidR="00453362" w:rsidRDefault="002F13F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dv. 145</w:t>
            </w:r>
          </w:p>
          <w:p w14:paraId="7C1ED737" w14:textId="5D284807" w:rsidR="002F13FA" w:rsidRPr="0017531F" w:rsidRDefault="002F13F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srijeda, 11:30-13:45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4B11502" w:rsidR="00453362" w:rsidRPr="0017531F" w:rsidRDefault="002F13F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1979892" w:rsidR="00453362" w:rsidRPr="0017531F" w:rsidRDefault="002F13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1BC6F5D" w:rsidR="00453362" w:rsidRPr="0017531F" w:rsidRDefault="002F13F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5093307" w:rsidR="00453362" w:rsidRPr="0017531F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5AC3B1B" w:rsidR="00453362" w:rsidRPr="0017531F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Tomislav Frleta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31F3875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C41588" w:rsidRPr="002D1E87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tfrleta@unizd.hr</w:t>
              </w:r>
            </w:hyperlink>
            <w:r w:rsidR="00C4158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722FFE3" w:rsidR="00453362" w:rsidRPr="002F13FA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ABF0A08" w:rsidR="00453362" w:rsidRPr="0017531F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Maja Pivčević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B79EE12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2F13FA" w:rsidRPr="00A66530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mpivcevic@unizd.hr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10855B4" w:rsidR="00453362" w:rsidRPr="0017531F" w:rsidRDefault="004F511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srijeda, 15:30-17:30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71BFFD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CCAA3B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6CB8E8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A80C39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FE0E36B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definirati temeljne postavke teorije nastave stranih jezika</w:t>
            </w:r>
          </w:p>
          <w:p w14:paraId="61815896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usporediti različite teorijske pristupe nastavi stranih jezika s dijakronijskog i sinkronijskog stajališta i kritički ih prosuđivati</w:t>
            </w:r>
          </w:p>
          <w:p w14:paraId="3A304EBB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prepoznati važnost interdisciplinarne povezanosti u nastavi stranih jezika</w:t>
            </w:r>
          </w:p>
          <w:p w14:paraId="6A492669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analizirati jezične probleme sa stajališta glotodidaktike</w:t>
            </w:r>
          </w:p>
          <w:p w14:paraId="1353791E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koristiti alate za samovrednovanje nastavničkih kompetencija</w:t>
            </w:r>
          </w:p>
          <w:p w14:paraId="045A27C1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napisati stručni/znanstveni rad na temu odabranog aspekta nastave stranog jezika</w:t>
            </w:r>
          </w:p>
          <w:p w14:paraId="13E2A08B" w14:textId="11B3BEE7" w:rsidR="00310F9A" w:rsidRPr="001753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prezentirati seminarski rad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25848A4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analizirati jezik i jezičnu uporabu koristeći se lingvističkim teorijama i metodama</w:t>
            </w:r>
          </w:p>
          <w:p w14:paraId="6FE79976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izložiti, analizirati i argumentirati vlastite stavove utemeljene na znanstvenim činjenicama o različitim teorijama učenja i poučavanja jezika te čimbenicima koji utječu na ovladavanje inim jezikom</w:t>
            </w:r>
          </w:p>
          <w:p w14:paraId="22F73490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primijeniti teorijska znanja s područja lingvistike, psiholingvistike, pedagogije, psihologije, opće didaktike i glotodidaktike u nastavi francuskoga jezika u različitim kontekstima</w:t>
            </w:r>
          </w:p>
          <w:p w14:paraId="00A832FC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primijeniti suvremene nastavne metode i pristupe u nastavi francuskoga jezika</w:t>
            </w:r>
          </w:p>
          <w:p w14:paraId="4FB8A9A4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primijeniti metodološka načela u istraživanju i izradi znanstvenoga rada</w:t>
            </w:r>
          </w:p>
          <w:p w14:paraId="12CA2F78" w14:textId="7A50C5FA" w:rsidR="00310F9A" w:rsidRPr="001753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F511F">
              <w:rPr>
                <w:rFonts w:ascii="Merriweather" w:hAnsi="Merriweather" w:cs="Times New Roman"/>
                <w:sz w:val="16"/>
                <w:szCs w:val="16"/>
              </w:rPr>
              <w:t>- samovrednovati svoje nastavničke kompetencije i planirati cjeloživotno učenje i razvoj profesionalnog identiteta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F86E45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66FD6B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A8FBF1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3D278A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77B8D3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16E1A7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8AC7B3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0F3822E" w:rsidR="00FC2198" w:rsidRPr="0017531F" w:rsidRDefault="004F51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Pohađanje 70% predavanja i seminara (50% u slučaju kolizije), aktivno sudjelovanje u rješavanju seminarskih zadataka (pripreme za nastavu), pravovremeno predan, izložen te pozitivno ocijenjen seminarski rad.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453C365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40A6A1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C47BFE2" w14:textId="77777777" w:rsidR="00FC2198" w:rsidRDefault="003954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1. 2025., 14:00, dv. 155</w:t>
            </w:r>
          </w:p>
          <w:p w14:paraId="30038B69" w14:textId="5C8DB60A" w:rsidR="003954D6" w:rsidRPr="003954D6" w:rsidRDefault="003954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12. 2. 2025., 14:00, dv. 155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66C740CF" w:rsidR="00FC2198" w:rsidRPr="0017531F" w:rsidRDefault="004F51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2C454251" w:rsidR="00FC2198" w:rsidRPr="004F511F" w:rsidRDefault="004F51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BF82BEE" w:rsidR="00FC2198" w:rsidRPr="0017531F" w:rsidRDefault="004F511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Upoznati studente s teorijom/teorijama glotodidaktike te njenim interdisciplinarnim karakterom. Ukazati na najvažnije pristupe pri poučavanju stranih jezika te na nedostatnost jednostranog pristupa. Kroz seminare/seminarske radove/analizu odabranih članaka/djela obraditi i kritički prosuđivati relevantnu literaturu.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83E844A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1. Introduction (didactique des langues étrangères, interdisciplinarité, notions de base)</w:t>
            </w:r>
          </w:p>
          <w:p w14:paraId="116601A6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2. Faits historiques, Méthode grammaire-traduction</w:t>
            </w:r>
          </w:p>
          <w:p w14:paraId="1159ED0A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3. Méthodes directes, Méthodes audio-orales et audio-visuelles, Méthode SGAV</w:t>
            </w:r>
          </w:p>
          <w:p w14:paraId="41E740CB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4. Approche communicative, Approche interculturelle, Approche notionnelle-fonctionnelle</w:t>
            </w:r>
          </w:p>
          <w:p w14:paraId="5FAD935F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5. Approche par compétences, Approches non conventionnelles</w:t>
            </w:r>
          </w:p>
          <w:p w14:paraId="20FB855F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6. Approches plurielles (CARAP), CLIL, Éclectisme actuel</w:t>
            </w:r>
          </w:p>
          <w:p w14:paraId="6C384987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7. 1er contrôle continu</w:t>
            </w:r>
          </w:p>
          <w:p w14:paraId="4669ACD7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8. Cadre européen commun de référence pour les langues (CECRL)</w:t>
            </w:r>
          </w:p>
          <w:p w14:paraId="5F18840D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9. Portfolio européen des langues (PEL), PEPELF</w:t>
            </w:r>
          </w:p>
          <w:p w14:paraId="4A8EDFA8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10. Stratégies d’apprentissage, Acquis d'apprentissage, Le rôle de professeur et d'étudiant</w:t>
            </w:r>
          </w:p>
          <w:p w14:paraId="66271050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11. Analyse contrastive, Linguistique, cognition et didactique</w:t>
            </w:r>
          </w:p>
          <w:p w14:paraId="03A9B691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13. Les possibilités de la recherche dans la classe de langue</w:t>
            </w:r>
          </w:p>
          <w:p w14:paraId="20CD8290" w14:textId="77777777" w:rsidR="004F511F" w:rsidRPr="004F511F" w:rsidRDefault="004F511F" w:rsidP="004F51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 w:rsidRPr="004F51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Entre les murs</w:t>
            </w:r>
          </w:p>
          <w:p w14:paraId="6E3A408E" w14:textId="3BA85449" w:rsidR="00FC2198" w:rsidRPr="004F511F" w:rsidRDefault="004F511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511F">
              <w:rPr>
                <w:rFonts w:ascii="Merriweather" w:eastAsia="MS Gothic" w:hAnsi="Merriweather" w:cs="Times New Roman"/>
                <w:sz w:val="16"/>
                <w:szCs w:val="16"/>
              </w:rPr>
              <w:t>15. 2e contrôle continu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CE6345C" w14:textId="77777777" w:rsidR="009116DC" w:rsidRPr="009116DC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BAJRIĆ, S., 2009, </w:t>
            </w:r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Linguistique, cognition et didactique : principes et exercices de linguistique didactique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Paris, PUPS</w:t>
            </w:r>
          </w:p>
          <w:p w14:paraId="66737A72" w14:textId="77777777" w:rsidR="009116DC" w:rsidRPr="009116DC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CUQ J.-P., GRUCCA I., 2008, </w:t>
            </w:r>
            <w:r w:rsidRPr="009116D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Cours de didactique du français langue étrangère et seconde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Grenoble, Presses Universitaires de Grenoble </w:t>
            </w:r>
          </w:p>
          <w:p w14:paraId="772D5D20" w14:textId="77777777" w:rsidR="009116DC" w:rsidRPr="009116DC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</w:rPr>
              <w:t>PREBEG VILKE, M., 1977, Uvod u glotodidaktiku, Zagreb, Školska knjiga</w:t>
            </w:r>
          </w:p>
          <w:p w14:paraId="225A7C2E" w14:textId="77777777" w:rsidR="009116DC" w:rsidRPr="009116DC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PUREN C., 1988, </w:t>
            </w:r>
            <w:r w:rsidRPr="009116D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Histoire des méthodologies de l’enseignement des langues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Paris, CLÉ International</w:t>
            </w:r>
          </w:p>
          <w:p w14:paraId="0B89B5BE" w14:textId="045AA564" w:rsidR="00FC2198" w:rsidRPr="0017531F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TAGLIANTE, C., 2011, </w:t>
            </w:r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La classe de langue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</w:rPr>
              <w:t>, Paris, CLE international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C0D60B2" w14:textId="77777777" w:rsidR="009116DC" w:rsidRPr="009116DC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BARBOT M.-J., 2000, </w:t>
            </w:r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Les auto-apprentissages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Paris, CLÉ International</w:t>
            </w:r>
          </w:p>
          <w:p w14:paraId="08437831" w14:textId="77777777" w:rsidR="009116DC" w:rsidRPr="009116DC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BESSE H., 2005, </w:t>
            </w:r>
            <w:r w:rsidRPr="009116D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Méthodes et pratiques des manuels de langue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Crédif</w:t>
            </w:r>
            <w:proofErr w:type="spellEnd"/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Didier</w:t>
            </w:r>
          </w:p>
          <w:p w14:paraId="1F669604" w14:textId="77777777" w:rsidR="009116DC" w:rsidRPr="009116DC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BLANCHET P., CHARDENET P. (dir.), 2011, </w:t>
            </w:r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Guide pour la recherche en didactique des langues et des cultures. Approches contextualisées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</w:rPr>
              <w:t>. Paris, Éditions des archives contemporaines</w:t>
            </w:r>
          </w:p>
          <w:p w14:paraId="3D95E35B" w14:textId="77777777" w:rsidR="009116DC" w:rsidRPr="009116DC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CYR, P., 1998, </w:t>
            </w:r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Les stratégies d’apprentissage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</w:rPr>
              <w:t>, Paris, CLE International</w:t>
            </w:r>
          </w:p>
          <w:p w14:paraId="3A3FF3F9" w14:textId="77777777" w:rsidR="009116DC" w:rsidRPr="009116DC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GERMAIN C., 1993, </w:t>
            </w:r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Évolution de l'enseignement des langues : 5000 ans d'histoire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. Paris, CLÉ International</w:t>
            </w:r>
          </w:p>
          <w:p w14:paraId="427F7019" w14:textId="77777777" w:rsidR="009116DC" w:rsidRPr="009116DC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PUREN C., 1994, </w:t>
            </w:r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La didactique des langues étrangères à la croisée des méthodes – Essai sur l'éclectisme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Paris, Didier</w:t>
            </w:r>
          </w:p>
          <w:p w14:paraId="2DFC445A" w14:textId="77777777" w:rsidR="009116DC" w:rsidRPr="009116DC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RICHER J.-J. et al., 2010, </w:t>
            </w:r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L’approche actionnelle dans l’enseignement des langues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Editions Maison des Langues</w:t>
            </w:r>
          </w:p>
          <w:p w14:paraId="41D6FF4C" w14:textId="77777777" w:rsidR="009116DC" w:rsidRPr="009116DC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16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VIJEĆE EUROPE, 2006, </w:t>
            </w:r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Europski jezični portfolio (7-11; 11-15; 15-19).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Zagreb: Školska knjiga</w:t>
            </w:r>
          </w:p>
          <w:p w14:paraId="63D07860" w14:textId="700CCED6" w:rsidR="00FC2198" w:rsidRPr="0017531F" w:rsidRDefault="009116DC" w:rsidP="009116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Članci</w:t>
            </w:r>
            <w:proofErr w:type="spellEnd"/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iz</w:t>
            </w:r>
            <w:proofErr w:type="spellEnd"/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časopisa</w:t>
            </w:r>
            <w:proofErr w:type="spellEnd"/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:</w:t>
            </w:r>
            <w:proofErr w:type="gramEnd"/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Langue française 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(Paris), </w:t>
            </w:r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Le français dans le monde</w:t>
            </w:r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(Paris), </w:t>
            </w:r>
            <w:proofErr w:type="spellStart"/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Strani</w:t>
            </w:r>
            <w:proofErr w:type="spellEnd"/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116DC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jezici</w:t>
            </w:r>
            <w:proofErr w:type="spellEnd"/>
            <w:r w:rsidRPr="009116D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(Zagreb)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E3AC96D" w14:textId="77777777" w:rsidR="00167F73" w:rsidRPr="00167F73" w:rsidRDefault="00000000" w:rsidP="00167F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r w:rsidR="00167F73" w:rsidRPr="00167F7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Cadre européen commun de référence pour les langues</w:t>
              </w:r>
            </w:hyperlink>
            <w:r w:rsidR="00167F73" w:rsidRPr="00167F73">
              <w:rPr>
                <w:rFonts w:ascii="Merriweather" w:eastAsia="MS Gothic" w:hAnsi="Merriweather" w:cs="Times New Roman"/>
                <w:sz w:val="16"/>
                <w:szCs w:val="16"/>
              </w:rPr>
              <w:t>: apprendre, enseigner, évaluer. Volume complémentaire avec de nouveaux descripteurs, 2018, Conseil de l'Europe.</w:t>
            </w:r>
          </w:p>
          <w:p w14:paraId="104E4081" w14:textId="77777777" w:rsidR="00167F73" w:rsidRPr="00167F73" w:rsidRDefault="00167F73" w:rsidP="00167F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67F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CANDELIER, M. et al., 2012. Le CARAP: </w:t>
            </w:r>
            <w:hyperlink r:id="rId13" w:history="1">
              <w:r w:rsidRPr="00167F7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Un Cadre de Référence pour les Approches Plurielles</w:t>
              </w:r>
            </w:hyperlink>
            <w:r w:rsidRPr="00167F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des Langues et des Cultures: Compétences et ressources. Editions du Conseil de l’Europe. Strasbourg/Graz.</w:t>
            </w:r>
          </w:p>
          <w:p w14:paraId="250D498A" w14:textId="77777777" w:rsidR="00167F73" w:rsidRPr="00167F73" w:rsidRDefault="00000000" w:rsidP="00167F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4" w:history="1">
              <w:r w:rsidR="00167F73" w:rsidRPr="00167F7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Kurikulum za nastavni predmet Francuski jezik</w:t>
              </w:r>
            </w:hyperlink>
            <w:r w:rsidR="00167F73" w:rsidRPr="00167F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 osnovne škole i gimnazije u Republici Hrvatskoj, NN 7/2019 i </w:t>
            </w:r>
            <w:hyperlink r:id="rId15" w:history="1">
              <w:r w:rsidR="00167F73" w:rsidRPr="00167F7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Međupredmetne teme</w:t>
              </w:r>
            </w:hyperlink>
          </w:p>
          <w:p w14:paraId="3DCC4888" w14:textId="7DA47192" w:rsidR="00FC2198" w:rsidRPr="0017531F" w:rsidRDefault="00167F73" w:rsidP="00167F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67F73">
              <w:rPr>
                <w:rFonts w:ascii="Merriweather" w:eastAsia="MS Gothic" w:hAnsi="Merriweather" w:cs="Times New Roman"/>
                <w:sz w:val="16"/>
                <w:szCs w:val="16"/>
              </w:rPr>
              <w:t>NEWBY, D. et al., 2007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hyperlink r:id="rId16" w:history="1">
              <w:r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Europski portfolio za obrazovanje nastavnika jezika</w:t>
              </w:r>
            </w:hyperlink>
            <w:r w:rsidRPr="00167F73">
              <w:rPr>
                <w:rFonts w:ascii="Merriweather" w:eastAsia="MS Gothic" w:hAnsi="Merriweather" w:cs="Times New Roman"/>
                <w:sz w:val="16"/>
                <w:szCs w:val="16"/>
              </w:rPr>
              <w:t>, Refleksijski instrument za obrazovanje nastavnika jezika, Vijeće Europe.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17AF4D2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F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F897F83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F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34F10E14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F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0C41D70" w:rsidR="00FC2198" w:rsidRPr="0017531F" w:rsidRDefault="00167F7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67F73">
              <w:rPr>
                <w:rFonts w:ascii="Merriweather" w:eastAsia="MS Gothic" w:hAnsi="Merriweather" w:cs="Times New Roman"/>
                <w:sz w:val="16"/>
                <w:szCs w:val="16"/>
              </w:rPr>
              <w:t>Završna ocjena formira se kontinuiranom evaluacijom (25 % 1. kolokvij, 25 % 2. kolokvij, 30 % seminarski rad te 20 % sudjelovanje na nastavi) ili završnim ispitom (50 % završni pismeni ispit, 30 % seminarski rad, 20 % sudjelovanje na nastavi).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442F0239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7F73">
              <w:rPr>
                <w:rFonts w:ascii="Merriweather" w:hAnsi="Merriweather" w:cs="Times New Roman"/>
                <w:sz w:val="16"/>
                <w:szCs w:val="16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C54D0CD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8C99B5A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E9838BD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0F3159A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7F73">
              <w:rPr>
                <w:rFonts w:ascii="Merriweather" w:hAnsi="Merriweather" w:cs="Times New Roman"/>
                <w:sz w:val="16"/>
                <w:szCs w:val="16"/>
              </w:rPr>
              <w:t>≥90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684E15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4FBC335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C5147" w14:textId="77777777" w:rsidR="004A2167" w:rsidRDefault="004A2167" w:rsidP="009947BA">
      <w:pPr>
        <w:spacing w:before="0" w:after="0"/>
      </w:pPr>
      <w:r>
        <w:separator/>
      </w:r>
    </w:p>
  </w:endnote>
  <w:endnote w:type="continuationSeparator" w:id="0">
    <w:p w14:paraId="4FDC7E25" w14:textId="77777777" w:rsidR="004A2167" w:rsidRDefault="004A216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1F065" w14:textId="77777777" w:rsidR="004A2167" w:rsidRDefault="004A2167" w:rsidP="009947BA">
      <w:pPr>
        <w:spacing w:before="0" w:after="0"/>
      </w:pPr>
      <w:r>
        <w:separator/>
      </w:r>
    </w:p>
  </w:footnote>
  <w:footnote w:type="continuationSeparator" w:id="0">
    <w:p w14:paraId="1101736C" w14:textId="77777777" w:rsidR="004A2167" w:rsidRDefault="004A216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67F73"/>
    <w:rsid w:val="0017531F"/>
    <w:rsid w:val="0018700F"/>
    <w:rsid w:val="00197510"/>
    <w:rsid w:val="001C7C51"/>
    <w:rsid w:val="00226462"/>
    <w:rsid w:val="0022722C"/>
    <w:rsid w:val="002561B9"/>
    <w:rsid w:val="0028545A"/>
    <w:rsid w:val="002E1CE6"/>
    <w:rsid w:val="002F13FA"/>
    <w:rsid w:val="002F2D22"/>
    <w:rsid w:val="00310F9A"/>
    <w:rsid w:val="00314B38"/>
    <w:rsid w:val="00326091"/>
    <w:rsid w:val="00357643"/>
    <w:rsid w:val="00371634"/>
    <w:rsid w:val="00386E9C"/>
    <w:rsid w:val="00393964"/>
    <w:rsid w:val="003954D6"/>
    <w:rsid w:val="003D7529"/>
    <w:rsid w:val="003F11B6"/>
    <w:rsid w:val="003F17B8"/>
    <w:rsid w:val="004138FF"/>
    <w:rsid w:val="00453362"/>
    <w:rsid w:val="00461219"/>
    <w:rsid w:val="00470F6D"/>
    <w:rsid w:val="00483BC3"/>
    <w:rsid w:val="004A2167"/>
    <w:rsid w:val="004B1B3D"/>
    <w:rsid w:val="004B553E"/>
    <w:rsid w:val="004D139B"/>
    <w:rsid w:val="004F511F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65050"/>
    <w:rsid w:val="00680AB8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6FC4"/>
    <w:rsid w:val="007B77B5"/>
    <w:rsid w:val="007C43A4"/>
    <w:rsid w:val="007D4D2D"/>
    <w:rsid w:val="007E52A4"/>
    <w:rsid w:val="00865776"/>
    <w:rsid w:val="00874D5D"/>
    <w:rsid w:val="00891C60"/>
    <w:rsid w:val="008942F0"/>
    <w:rsid w:val="00894817"/>
    <w:rsid w:val="008B1823"/>
    <w:rsid w:val="008B3B10"/>
    <w:rsid w:val="008D45DB"/>
    <w:rsid w:val="0090214F"/>
    <w:rsid w:val="009116DC"/>
    <w:rsid w:val="009163E6"/>
    <w:rsid w:val="009554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96152"/>
    <w:rsid w:val="00C02454"/>
    <w:rsid w:val="00C3477B"/>
    <w:rsid w:val="00C41588"/>
    <w:rsid w:val="00C85956"/>
    <w:rsid w:val="00C9733D"/>
    <w:rsid w:val="00CA3783"/>
    <w:rsid w:val="00CB23F4"/>
    <w:rsid w:val="00D136E4"/>
    <w:rsid w:val="00D354D5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6C0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F13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cml.at/Portals/1/documents/ECML-resources/CARAP-FR.pdf?ver=2018-03-20-120658-74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m.coe.int/cecr-volume-complementaire-avec-de-nouveaux-descripteurs/16807875d5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cml.at/Portals/1/documents/ECML-resources/EPONAJ_EPOSTL15092010_hr.pdf?ver=2018-11-06-102303-3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ivcev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s://skolazazivot.hr/medupredmetne-teme/" TargetMode="External"/><Relationship Id="rId10" Type="http://schemas.openxmlformats.org/officeDocument/2006/relationships/hyperlink" Target="mailto:tfrleta@unizd.hr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narodne-novine.nn.hr/clanci/sluzbeni/2019_01_7_140.html?fbclid=IwAR2vWrVUp_OCmEQNS-FM3IYs5aJ3onEmfxtn9QmYR_cKpk35QxlEBqE_Zs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MP</cp:lastModifiedBy>
  <cp:revision>5</cp:revision>
  <cp:lastPrinted>2021-02-12T11:27:00Z</cp:lastPrinted>
  <dcterms:created xsi:type="dcterms:W3CDTF">2024-08-26T13:17:00Z</dcterms:created>
  <dcterms:modified xsi:type="dcterms:W3CDTF">2024-09-10T12:22:00Z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